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478AC4BB" w:rsidR="00641054" w:rsidRDefault="004145BE">
      <w:pPr>
        <w:autoSpaceDE/>
        <w:autoSpaceDN/>
        <w:adjustRightInd/>
        <w:spacing w:after="0"/>
        <w:jc w:val="left"/>
      </w:pPr>
      <w:r>
        <w:rPr>
          <w:noProof/>
        </w:rPr>
        <w:pict w14:anchorId="71C8EE14">
          <v:shapetype id="_x0000_t202" coordsize="21600,21600" o:spt="202" path="m,l,21600r21600,l21600,xe">
            <v:stroke joinstyle="miter"/>
            <v:path gradientshapeok="t" o:connecttype="rect"/>
          </v:shapetype>
          <v:shape id="Text Box 2" o:spid="_x0000_s2050" type="#_x0000_t202" style="position:absolute;margin-left:17.15pt;margin-top:404.2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" filled="f" stroked="f">
            <o:lock v:ext="edit" aspectratio="t" verticies="t" text="t" shapetype="t"/>
            <v:textbox>
              <w:txbxContent>
                <w:p w14:paraId="543D2D54" w14:textId="77777777" w:rsidR="000F78F1" w:rsidRPr="00606EEB" w:rsidRDefault="000F78F1" w:rsidP="000F78F1">
                  <w:pPr>
                    <w:spacing w:after="0"/>
                    <w:ind w:right="-46"/>
                    <w:rPr>
                      <w:rFonts w:cs="Arial"/>
                      <w:b/>
                      <w:bCs/>
                      <w:sz w:val="52"/>
                      <w:szCs w:val="52"/>
                    </w:rPr>
                  </w:pPr>
                  <w:r w:rsidRPr="00606EEB">
                    <w:rPr>
                      <w:rFonts w:cs="Arial"/>
                      <w:b/>
                      <w:bCs/>
                      <w:sz w:val="52"/>
                      <w:szCs w:val="52"/>
                    </w:rPr>
                    <w:t>Money Matters</w:t>
                  </w:r>
                </w:p>
                <w:p w14:paraId="4A00D6B1" w14:textId="77777777" w:rsidR="000F78F1" w:rsidRPr="00606EEB" w:rsidRDefault="000F78F1" w:rsidP="000F78F1">
                  <w:pPr>
                    <w:spacing w:after="0"/>
                    <w:ind w:right="-46"/>
                    <w:rPr>
                      <w:rFonts w:cs="Arial"/>
                      <w:b/>
                      <w:bCs/>
                      <w:sz w:val="52"/>
                      <w:szCs w:val="52"/>
                    </w:rPr>
                  </w:pPr>
                  <w:r w:rsidRPr="00606EEB">
                    <w:rPr>
                      <w:rFonts w:cs="Arial"/>
                      <w:b/>
                      <w:bCs/>
                      <w:sz w:val="52"/>
                      <w:szCs w:val="52"/>
                    </w:rPr>
                    <w:t xml:space="preserve">The County Council's Revenue Financial Position </w:t>
                  </w:r>
                </w:p>
                <w:p w14:paraId="1D3922B6" w14:textId="77777777" w:rsidR="000F78F1" w:rsidRDefault="000F78F1" w:rsidP="000F78F1">
                  <w:pPr>
                    <w:spacing w:after="0"/>
                    <w:ind w:right="-46"/>
                    <w:rPr>
                      <w:rFonts w:cs="Arial"/>
                      <w:b/>
                      <w:bCs/>
                      <w:sz w:val="52"/>
                      <w:szCs w:val="52"/>
                    </w:rPr>
                  </w:pPr>
                  <w:r>
                    <w:rPr>
                      <w:rFonts w:cs="Arial"/>
                      <w:b/>
                      <w:bCs/>
                      <w:sz w:val="52"/>
                      <w:szCs w:val="52"/>
                    </w:rPr>
                    <w:t>2022/23</w:t>
                  </w:r>
                  <w:r w:rsidRPr="00606EEB">
                    <w:rPr>
                      <w:rFonts w:cs="Arial"/>
                      <w:b/>
                      <w:bCs/>
                      <w:sz w:val="52"/>
                      <w:szCs w:val="52"/>
                    </w:rPr>
                    <w:t xml:space="preserve"> Quarter </w:t>
                  </w:r>
                  <w:r>
                    <w:rPr>
                      <w:rFonts w:cs="Arial"/>
                      <w:b/>
                      <w:bCs/>
                      <w:sz w:val="52"/>
                      <w:szCs w:val="52"/>
                    </w:rPr>
                    <w:t>2</w:t>
                  </w:r>
                </w:p>
                <w:p w14:paraId="6AA6F3B2" w14:textId="77777777" w:rsidR="00DB6FF3" w:rsidRDefault="00DB6FF3" w:rsidP="00F5519A"/>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B13FF3E"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tbl>
      <w:tblPr>
        <w:tblStyle w:val="TableGrid"/>
        <w:tblW w:w="9105" w:type="dxa"/>
        <w:tblLook w:val="04A0" w:firstRow="1" w:lastRow="0" w:firstColumn="1" w:lastColumn="0" w:noHBand="0" w:noVBand="1"/>
      </w:tblPr>
      <w:tblGrid>
        <w:gridCol w:w="483"/>
        <w:gridCol w:w="7529"/>
        <w:gridCol w:w="1093"/>
      </w:tblGrid>
      <w:tr w:rsidR="000F78F1" w14:paraId="4DC93F76" w14:textId="77777777" w:rsidTr="00C11DAC">
        <w:trPr>
          <w:trHeight w:val="575"/>
        </w:trPr>
        <w:tc>
          <w:tcPr>
            <w:tcW w:w="483" w:type="dxa"/>
          </w:tcPr>
          <w:p w14:paraId="3C27E609" w14:textId="77777777" w:rsidR="000F78F1" w:rsidRPr="003C4389" w:rsidRDefault="000F78F1" w:rsidP="00C11DAC">
            <w:pPr>
              <w:ind w:right="-46"/>
              <w:jc w:val="center"/>
              <w:rPr>
                <w:rFonts w:cs="Arial"/>
                <w:b/>
                <w:bCs/>
              </w:rPr>
            </w:pPr>
          </w:p>
        </w:tc>
        <w:tc>
          <w:tcPr>
            <w:tcW w:w="7529" w:type="dxa"/>
            <w:vAlign w:val="center"/>
          </w:tcPr>
          <w:p w14:paraId="61B0B50B" w14:textId="77777777" w:rsidR="000F78F1" w:rsidRPr="003C4389" w:rsidRDefault="000F78F1" w:rsidP="00C11DAC">
            <w:pPr>
              <w:ind w:right="-46"/>
              <w:rPr>
                <w:rFonts w:cs="Arial"/>
                <w:b/>
                <w:bCs/>
              </w:rPr>
            </w:pPr>
          </w:p>
        </w:tc>
        <w:tc>
          <w:tcPr>
            <w:tcW w:w="1093" w:type="dxa"/>
            <w:vAlign w:val="center"/>
          </w:tcPr>
          <w:p w14:paraId="531E55AA" w14:textId="77777777" w:rsidR="000F78F1" w:rsidRPr="003C4389" w:rsidRDefault="000F78F1" w:rsidP="00C11DAC">
            <w:pPr>
              <w:ind w:right="-46"/>
              <w:jc w:val="center"/>
              <w:rPr>
                <w:rFonts w:cs="Arial"/>
                <w:b/>
                <w:bCs/>
              </w:rPr>
            </w:pPr>
            <w:r w:rsidRPr="003C4389">
              <w:rPr>
                <w:rFonts w:cs="Arial"/>
                <w:b/>
                <w:bCs/>
              </w:rPr>
              <w:t>Page</w:t>
            </w:r>
          </w:p>
        </w:tc>
      </w:tr>
      <w:tr w:rsidR="000F78F1" w14:paraId="0E7BCB1E" w14:textId="77777777" w:rsidTr="00C11DAC">
        <w:trPr>
          <w:trHeight w:val="575"/>
        </w:trPr>
        <w:tc>
          <w:tcPr>
            <w:tcW w:w="483" w:type="dxa"/>
            <w:vAlign w:val="center"/>
          </w:tcPr>
          <w:p w14:paraId="3C947081" w14:textId="77777777" w:rsidR="000F78F1" w:rsidRPr="003C4389" w:rsidRDefault="000F78F1" w:rsidP="00C11DAC">
            <w:pPr>
              <w:ind w:right="-46"/>
              <w:rPr>
                <w:rFonts w:cs="Arial"/>
                <w:b/>
                <w:bCs/>
              </w:rPr>
            </w:pPr>
            <w:r w:rsidRPr="003C4389">
              <w:rPr>
                <w:rFonts w:cs="Arial"/>
                <w:b/>
                <w:bCs/>
              </w:rPr>
              <w:t>1</w:t>
            </w:r>
          </w:p>
        </w:tc>
        <w:tc>
          <w:tcPr>
            <w:tcW w:w="7529" w:type="dxa"/>
            <w:vAlign w:val="center"/>
          </w:tcPr>
          <w:p w14:paraId="25ACC827" w14:textId="77777777" w:rsidR="000F78F1" w:rsidRPr="003C4389" w:rsidRDefault="000F78F1" w:rsidP="00C11DAC">
            <w:pPr>
              <w:ind w:right="-46"/>
              <w:rPr>
                <w:rFonts w:cs="Arial"/>
                <w:b/>
                <w:bCs/>
              </w:rPr>
            </w:pPr>
            <w:r w:rsidRPr="24509639">
              <w:rPr>
                <w:rFonts w:cs="Arial"/>
                <w:b/>
                <w:bCs/>
              </w:rPr>
              <w:t>Summary Revenue Budget Monitoring Position as of 30</w:t>
            </w:r>
            <w:r w:rsidRPr="24509639">
              <w:rPr>
                <w:rFonts w:cs="Arial"/>
                <w:b/>
                <w:bCs/>
                <w:vertAlign w:val="superscript"/>
              </w:rPr>
              <w:t>th</w:t>
            </w:r>
            <w:r w:rsidRPr="24509639">
              <w:rPr>
                <w:rFonts w:cs="Arial"/>
                <w:b/>
                <w:bCs/>
              </w:rPr>
              <w:t xml:space="preserve"> </w:t>
            </w:r>
            <w:r>
              <w:rPr>
                <w:rFonts w:cs="Arial"/>
                <w:b/>
                <w:bCs/>
              </w:rPr>
              <w:t>September</w:t>
            </w:r>
            <w:r w:rsidRPr="24509639">
              <w:rPr>
                <w:rFonts w:cs="Arial"/>
                <w:b/>
                <w:bCs/>
              </w:rPr>
              <w:t xml:space="preserve"> 2022</w:t>
            </w:r>
          </w:p>
        </w:tc>
        <w:tc>
          <w:tcPr>
            <w:tcW w:w="1093" w:type="dxa"/>
            <w:vAlign w:val="center"/>
          </w:tcPr>
          <w:p w14:paraId="708737FD" w14:textId="25D345BE" w:rsidR="000F78F1" w:rsidRPr="003C4389" w:rsidRDefault="00911180" w:rsidP="00C11DAC">
            <w:pPr>
              <w:ind w:right="-46"/>
              <w:jc w:val="center"/>
              <w:rPr>
                <w:rFonts w:cs="Arial"/>
                <w:b/>
                <w:bCs/>
              </w:rPr>
            </w:pPr>
            <w:r>
              <w:rPr>
                <w:rFonts w:cs="Arial"/>
                <w:b/>
                <w:bCs/>
              </w:rPr>
              <w:t>2</w:t>
            </w:r>
          </w:p>
        </w:tc>
      </w:tr>
      <w:tr w:rsidR="000F78F1" w14:paraId="3AC51955" w14:textId="77777777" w:rsidTr="00C11DAC">
        <w:trPr>
          <w:trHeight w:val="575"/>
        </w:trPr>
        <w:tc>
          <w:tcPr>
            <w:tcW w:w="483" w:type="dxa"/>
            <w:vAlign w:val="center"/>
          </w:tcPr>
          <w:p w14:paraId="3E2BE815" w14:textId="77777777" w:rsidR="000F78F1" w:rsidRPr="003C4389" w:rsidRDefault="000F78F1" w:rsidP="00C11DAC">
            <w:pPr>
              <w:ind w:right="-46"/>
              <w:rPr>
                <w:rFonts w:cs="Arial"/>
                <w:b/>
                <w:bCs/>
              </w:rPr>
            </w:pPr>
            <w:r w:rsidRPr="003C4389">
              <w:rPr>
                <w:rFonts w:cs="Arial"/>
                <w:b/>
                <w:bCs/>
              </w:rPr>
              <w:t>2</w:t>
            </w:r>
          </w:p>
        </w:tc>
        <w:tc>
          <w:tcPr>
            <w:tcW w:w="7529" w:type="dxa"/>
            <w:vAlign w:val="center"/>
          </w:tcPr>
          <w:p w14:paraId="35735196" w14:textId="77777777" w:rsidR="000F78F1" w:rsidRPr="003C4389" w:rsidRDefault="000F78F1" w:rsidP="00C11DAC">
            <w:pPr>
              <w:ind w:right="-46"/>
              <w:rPr>
                <w:rFonts w:cs="Arial"/>
                <w:b/>
                <w:bCs/>
              </w:rPr>
            </w:pPr>
            <w:r w:rsidRPr="003C4389">
              <w:rPr>
                <w:rFonts w:cs="Arial"/>
                <w:b/>
                <w:bCs/>
              </w:rPr>
              <w:t>Executive Summary</w:t>
            </w:r>
          </w:p>
        </w:tc>
        <w:tc>
          <w:tcPr>
            <w:tcW w:w="1093" w:type="dxa"/>
            <w:vAlign w:val="center"/>
          </w:tcPr>
          <w:p w14:paraId="240DA6CF" w14:textId="5EECE79F" w:rsidR="000F78F1" w:rsidRPr="003C4389" w:rsidRDefault="00911180" w:rsidP="00C11DAC">
            <w:pPr>
              <w:ind w:right="-46"/>
              <w:jc w:val="center"/>
              <w:rPr>
                <w:rFonts w:cs="Arial"/>
                <w:b/>
                <w:bCs/>
              </w:rPr>
            </w:pPr>
            <w:r>
              <w:rPr>
                <w:rFonts w:cs="Arial"/>
                <w:b/>
                <w:bCs/>
              </w:rPr>
              <w:t>2</w:t>
            </w:r>
          </w:p>
        </w:tc>
      </w:tr>
      <w:tr w:rsidR="000F78F1" w14:paraId="376FD7D1" w14:textId="77777777" w:rsidTr="00C11DAC">
        <w:trPr>
          <w:trHeight w:val="575"/>
        </w:trPr>
        <w:tc>
          <w:tcPr>
            <w:tcW w:w="483" w:type="dxa"/>
            <w:vAlign w:val="center"/>
          </w:tcPr>
          <w:p w14:paraId="3669AC51" w14:textId="77777777" w:rsidR="000F78F1" w:rsidRPr="003C4389" w:rsidRDefault="000F78F1" w:rsidP="00C11DAC">
            <w:pPr>
              <w:ind w:right="-46"/>
              <w:rPr>
                <w:rFonts w:cs="Arial"/>
                <w:b/>
                <w:bCs/>
              </w:rPr>
            </w:pPr>
            <w:r w:rsidRPr="003C4389">
              <w:rPr>
                <w:rFonts w:cs="Arial"/>
                <w:b/>
                <w:bCs/>
              </w:rPr>
              <w:t>3</w:t>
            </w:r>
          </w:p>
        </w:tc>
        <w:tc>
          <w:tcPr>
            <w:tcW w:w="7529" w:type="dxa"/>
            <w:vAlign w:val="center"/>
          </w:tcPr>
          <w:p w14:paraId="0F04827C" w14:textId="77777777" w:rsidR="000F78F1" w:rsidRPr="003C4389" w:rsidRDefault="000F78F1" w:rsidP="00C11DAC">
            <w:pPr>
              <w:ind w:right="-46"/>
              <w:rPr>
                <w:rFonts w:cs="Arial"/>
                <w:b/>
                <w:bCs/>
              </w:rPr>
            </w:pPr>
            <w:r w:rsidRPr="003C4389">
              <w:rPr>
                <w:rFonts w:cs="Arial"/>
                <w:b/>
                <w:bCs/>
              </w:rPr>
              <w:t>Adult Services</w:t>
            </w:r>
            <w:r>
              <w:rPr>
                <w:rFonts w:cs="Arial"/>
                <w:b/>
                <w:bCs/>
              </w:rPr>
              <w:t xml:space="preserve"> and Health and Wellbeing Directorate</w:t>
            </w:r>
          </w:p>
        </w:tc>
        <w:tc>
          <w:tcPr>
            <w:tcW w:w="1093" w:type="dxa"/>
            <w:vAlign w:val="center"/>
          </w:tcPr>
          <w:p w14:paraId="3B0E8778" w14:textId="417EA809" w:rsidR="000F78F1" w:rsidRPr="003C4389" w:rsidRDefault="00911180" w:rsidP="00C11DAC">
            <w:pPr>
              <w:ind w:right="-46"/>
              <w:jc w:val="center"/>
              <w:rPr>
                <w:rFonts w:cs="Arial"/>
                <w:b/>
                <w:bCs/>
              </w:rPr>
            </w:pPr>
            <w:r>
              <w:rPr>
                <w:rFonts w:cs="Arial"/>
                <w:b/>
                <w:bCs/>
              </w:rPr>
              <w:t>4</w:t>
            </w:r>
          </w:p>
        </w:tc>
      </w:tr>
      <w:tr w:rsidR="000F78F1" w14:paraId="191672E3" w14:textId="77777777" w:rsidTr="00C11DAC">
        <w:trPr>
          <w:trHeight w:val="575"/>
        </w:trPr>
        <w:tc>
          <w:tcPr>
            <w:tcW w:w="483" w:type="dxa"/>
            <w:vAlign w:val="center"/>
          </w:tcPr>
          <w:p w14:paraId="58B742DE" w14:textId="77777777" w:rsidR="000F78F1" w:rsidRPr="003C4389" w:rsidRDefault="000F78F1" w:rsidP="00C11DAC">
            <w:pPr>
              <w:ind w:right="-46"/>
              <w:rPr>
                <w:rFonts w:cs="Arial"/>
                <w:b/>
                <w:bCs/>
              </w:rPr>
            </w:pPr>
            <w:r>
              <w:rPr>
                <w:rFonts w:cs="Arial"/>
                <w:b/>
                <w:bCs/>
              </w:rPr>
              <w:t>4</w:t>
            </w:r>
          </w:p>
        </w:tc>
        <w:tc>
          <w:tcPr>
            <w:tcW w:w="7529" w:type="dxa"/>
            <w:vAlign w:val="center"/>
          </w:tcPr>
          <w:p w14:paraId="098D259B" w14:textId="77777777" w:rsidR="000F78F1" w:rsidRPr="003C4389" w:rsidRDefault="000F78F1" w:rsidP="00C11DAC">
            <w:pPr>
              <w:ind w:right="-46"/>
              <w:rPr>
                <w:rFonts w:cs="Arial"/>
                <w:b/>
                <w:bCs/>
              </w:rPr>
            </w:pPr>
            <w:r w:rsidRPr="003C4389">
              <w:rPr>
                <w:rFonts w:cs="Arial"/>
                <w:b/>
                <w:bCs/>
              </w:rPr>
              <w:t>Education and Children's Services</w:t>
            </w:r>
            <w:r>
              <w:rPr>
                <w:rFonts w:cs="Arial"/>
                <w:b/>
                <w:bCs/>
              </w:rPr>
              <w:t xml:space="preserve"> Directorate</w:t>
            </w:r>
          </w:p>
        </w:tc>
        <w:tc>
          <w:tcPr>
            <w:tcW w:w="1093" w:type="dxa"/>
            <w:vAlign w:val="center"/>
          </w:tcPr>
          <w:p w14:paraId="06E84E74" w14:textId="330142FA" w:rsidR="000F78F1" w:rsidRPr="003C4389" w:rsidRDefault="00911180" w:rsidP="00C11DAC">
            <w:pPr>
              <w:ind w:right="-46"/>
              <w:jc w:val="center"/>
              <w:rPr>
                <w:rFonts w:cs="Arial"/>
                <w:b/>
                <w:bCs/>
              </w:rPr>
            </w:pPr>
            <w:r>
              <w:rPr>
                <w:rFonts w:cs="Arial"/>
                <w:b/>
                <w:bCs/>
              </w:rPr>
              <w:t>9</w:t>
            </w:r>
          </w:p>
        </w:tc>
      </w:tr>
      <w:tr w:rsidR="000F78F1" w14:paraId="36A0577C" w14:textId="77777777" w:rsidTr="00C11DAC">
        <w:trPr>
          <w:trHeight w:val="575"/>
        </w:trPr>
        <w:tc>
          <w:tcPr>
            <w:tcW w:w="483" w:type="dxa"/>
            <w:vAlign w:val="center"/>
          </w:tcPr>
          <w:p w14:paraId="0D423187" w14:textId="77777777" w:rsidR="000F78F1" w:rsidRPr="003C4389" w:rsidRDefault="000F78F1" w:rsidP="00C11DAC">
            <w:pPr>
              <w:ind w:right="-46"/>
              <w:rPr>
                <w:rFonts w:cs="Arial"/>
                <w:b/>
                <w:bCs/>
              </w:rPr>
            </w:pPr>
            <w:r>
              <w:rPr>
                <w:rFonts w:cs="Arial"/>
                <w:b/>
                <w:bCs/>
              </w:rPr>
              <w:t>5</w:t>
            </w:r>
          </w:p>
        </w:tc>
        <w:tc>
          <w:tcPr>
            <w:tcW w:w="7529" w:type="dxa"/>
            <w:vAlign w:val="center"/>
          </w:tcPr>
          <w:p w14:paraId="3F72D153" w14:textId="77777777" w:rsidR="000F78F1" w:rsidRPr="003C4389" w:rsidRDefault="000F78F1" w:rsidP="00C11DAC">
            <w:pPr>
              <w:ind w:right="-46"/>
              <w:rPr>
                <w:rFonts w:cs="Arial"/>
                <w:b/>
                <w:bCs/>
              </w:rPr>
            </w:pPr>
            <w:r w:rsidRPr="003C4389">
              <w:rPr>
                <w:rFonts w:cs="Arial"/>
                <w:b/>
                <w:bCs/>
              </w:rPr>
              <w:t xml:space="preserve">Growth, Environment and </w:t>
            </w:r>
            <w:r>
              <w:rPr>
                <w:rFonts w:cs="Arial"/>
                <w:b/>
                <w:bCs/>
              </w:rPr>
              <w:t>Transport</w:t>
            </w:r>
            <w:r w:rsidRPr="003C4389">
              <w:rPr>
                <w:rFonts w:cs="Arial"/>
                <w:b/>
                <w:bCs/>
              </w:rPr>
              <w:t xml:space="preserve"> Services</w:t>
            </w:r>
            <w:r>
              <w:rPr>
                <w:rFonts w:cs="Arial"/>
                <w:b/>
                <w:bCs/>
              </w:rPr>
              <w:t xml:space="preserve"> Directorate</w:t>
            </w:r>
          </w:p>
        </w:tc>
        <w:tc>
          <w:tcPr>
            <w:tcW w:w="1093" w:type="dxa"/>
            <w:vAlign w:val="center"/>
          </w:tcPr>
          <w:p w14:paraId="32D5295B" w14:textId="2B351061" w:rsidR="000F78F1" w:rsidRPr="003C4389" w:rsidRDefault="00911180" w:rsidP="00C11DAC">
            <w:pPr>
              <w:ind w:right="-46"/>
              <w:jc w:val="center"/>
              <w:rPr>
                <w:rFonts w:cs="Arial"/>
                <w:b/>
                <w:bCs/>
              </w:rPr>
            </w:pPr>
            <w:r>
              <w:rPr>
                <w:rFonts w:cs="Arial"/>
                <w:b/>
                <w:bCs/>
              </w:rPr>
              <w:t>13</w:t>
            </w:r>
          </w:p>
        </w:tc>
      </w:tr>
      <w:tr w:rsidR="000F78F1" w14:paraId="6712D52E" w14:textId="77777777" w:rsidTr="00C11DAC">
        <w:trPr>
          <w:trHeight w:val="575"/>
        </w:trPr>
        <w:tc>
          <w:tcPr>
            <w:tcW w:w="483" w:type="dxa"/>
            <w:vAlign w:val="center"/>
          </w:tcPr>
          <w:p w14:paraId="4048F834" w14:textId="77777777" w:rsidR="000F78F1" w:rsidRPr="003C4389" w:rsidRDefault="000F78F1" w:rsidP="00C11DAC">
            <w:pPr>
              <w:ind w:right="-46"/>
              <w:rPr>
                <w:rFonts w:cs="Arial"/>
                <w:b/>
                <w:bCs/>
              </w:rPr>
            </w:pPr>
            <w:r>
              <w:rPr>
                <w:rFonts w:cs="Arial"/>
                <w:b/>
                <w:bCs/>
              </w:rPr>
              <w:t>6</w:t>
            </w:r>
          </w:p>
        </w:tc>
        <w:tc>
          <w:tcPr>
            <w:tcW w:w="7529" w:type="dxa"/>
            <w:vAlign w:val="center"/>
          </w:tcPr>
          <w:p w14:paraId="4A66B9A8" w14:textId="77777777" w:rsidR="000F78F1" w:rsidRPr="003C4389" w:rsidRDefault="000F78F1" w:rsidP="00C11DAC">
            <w:pPr>
              <w:ind w:right="-46"/>
              <w:rPr>
                <w:rFonts w:cs="Arial"/>
                <w:b/>
                <w:bCs/>
              </w:rPr>
            </w:pPr>
            <w:r>
              <w:rPr>
                <w:rFonts w:cs="Arial"/>
                <w:b/>
                <w:bCs/>
              </w:rPr>
              <w:t>Resources Directorate</w:t>
            </w:r>
          </w:p>
        </w:tc>
        <w:tc>
          <w:tcPr>
            <w:tcW w:w="1093" w:type="dxa"/>
            <w:vAlign w:val="center"/>
          </w:tcPr>
          <w:p w14:paraId="61ED48E8" w14:textId="0C962A4E" w:rsidR="000F78F1" w:rsidRPr="003C4389" w:rsidRDefault="00911180" w:rsidP="00C11DAC">
            <w:pPr>
              <w:ind w:right="-46"/>
              <w:jc w:val="center"/>
              <w:rPr>
                <w:rFonts w:cs="Arial"/>
                <w:b/>
                <w:bCs/>
              </w:rPr>
            </w:pPr>
            <w:r>
              <w:rPr>
                <w:rFonts w:cs="Arial"/>
                <w:b/>
                <w:bCs/>
              </w:rPr>
              <w:t>17</w:t>
            </w:r>
          </w:p>
        </w:tc>
      </w:tr>
      <w:tr w:rsidR="000F78F1" w14:paraId="4407A02D" w14:textId="77777777" w:rsidTr="00C11DAC">
        <w:trPr>
          <w:trHeight w:val="575"/>
        </w:trPr>
        <w:tc>
          <w:tcPr>
            <w:tcW w:w="483" w:type="dxa"/>
            <w:vAlign w:val="center"/>
          </w:tcPr>
          <w:p w14:paraId="58892AF0" w14:textId="77777777" w:rsidR="000F78F1" w:rsidRPr="003C4389" w:rsidRDefault="000F78F1" w:rsidP="00C11DAC">
            <w:pPr>
              <w:ind w:right="-46"/>
              <w:rPr>
                <w:rFonts w:cs="Arial"/>
                <w:b/>
                <w:bCs/>
              </w:rPr>
            </w:pPr>
            <w:r>
              <w:rPr>
                <w:rFonts w:cs="Arial"/>
                <w:b/>
                <w:bCs/>
              </w:rPr>
              <w:t>7</w:t>
            </w:r>
          </w:p>
        </w:tc>
        <w:tc>
          <w:tcPr>
            <w:tcW w:w="7529" w:type="dxa"/>
            <w:vAlign w:val="center"/>
          </w:tcPr>
          <w:p w14:paraId="2141223D" w14:textId="77777777" w:rsidR="000F78F1" w:rsidRPr="003C4389" w:rsidRDefault="000F78F1" w:rsidP="00C11DAC">
            <w:pPr>
              <w:ind w:right="-46"/>
              <w:rPr>
                <w:rFonts w:cs="Arial"/>
                <w:b/>
                <w:bCs/>
              </w:rPr>
            </w:pPr>
            <w:r>
              <w:rPr>
                <w:rFonts w:cs="Arial"/>
                <w:b/>
                <w:bCs/>
              </w:rPr>
              <w:t xml:space="preserve">Chief Executive Services </w:t>
            </w:r>
          </w:p>
        </w:tc>
        <w:tc>
          <w:tcPr>
            <w:tcW w:w="1093" w:type="dxa"/>
            <w:vAlign w:val="center"/>
          </w:tcPr>
          <w:p w14:paraId="5ACB4AF6" w14:textId="28075E33" w:rsidR="000F78F1" w:rsidRPr="003C4389" w:rsidRDefault="00911180" w:rsidP="00C11DAC">
            <w:pPr>
              <w:ind w:right="-46"/>
              <w:jc w:val="center"/>
              <w:rPr>
                <w:rFonts w:cs="Arial"/>
                <w:b/>
                <w:bCs/>
              </w:rPr>
            </w:pPr>
            <w:r>
              <w:rPr>
                <w:rFonts w:cs="Arial"/>
                <w:b/>
                <w:bCs/>
              </w:rPr>
              <w:t>21</w:t>
            </w:r>
          </w:p>
        </w:tc>
      </w:tr>
    </w:tbl>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p w14:paraId="017D29A4" w14:textId="77777777" w:rsidR="000F78F1" w:rsidRPr="000F78F1" w:rsidRDefault="000F78F1" w:rsidP="000F78F1">
      <w:pPr>
        <w:numPr>
          <w:ilvl w:val="0"/>
          <w:numId w:val="5"/>
        </w:numPr>
        <w:autoSpaceDE/>
        <w:autoSpaceDN/>
        <w:adjustRightInd/>
        <w:spacing w:after="0" w:line="259" w:lineRule="auto"/>
        <w:contextualSpacing/>
        <w:rPr>
          <w:rFonts w:cs="Arial"/>
          <w:b/>
          <w:bCs/>
          <w:u w:val="single"/>
        </w:rPr>
      </w:pPr>
      <w:bookmarkStart w:id="1" w:name="_Toc304199309"/>
      <w:bookmarkEnd w:id="0"/>
      <w:r w:rsidRPr="000F78F1">
        <w:rPr>
          <w:rFonts w:cs="Arial"/>
          <w:b/>
          <w:bCs/>
          <w:u w:val="single"/>
        </w:rPr>
        <w:lastRenderedPageBreak/>
        <w:t>Summary Revenue Budget Monitoring Position as of 30</w:t>
      </w:r>
      <w:r w:rsidRPr="000F78F1">
        <w:rPr>
          <w:rFonts w:cs="Arial"/>
          <w:b/>
          <w:bCs/>
          <w:u w:val="single"/>
          <w:vertAlign w:val="superscript"/>
        </w:rPr>
        <w:t>th</w:t>
      </w:r>
      <w:r w:rsidRPr="000F78F1">
        <w:rPr>
          <w:rFonts w:cs="Arial"/>
          <w:b/>
          <w:bCs/>
          <w:u w:val="single"/>
        </w:rPr>
        <w:t xml:space="preserve"> September 2022</w:t>
      </w:r>
    </w:p>
    <w:p w14:paraId="39B3308D" w14:textId="77777777" w:rsidR="000F78F1" w:rsidRPr="000F78F1" w:rsidRDefault="000F78F1" w:rsidP="000F78F1">
      <w:pPr>
        <w:autoSpaceDE/>
        <w:autoSpaceDN/>
        <w:adjustRightInd/>
        <w:spacing w:after="0" w:line="259" w:lineRule="auto"/>
        <w:ind w:left="720"/>
        <w:contextualSpacing/>
        <w:rPr>
          <w:rFonts w:cs="Arial"/>
          <w:b/>
          <w:bCs/>
          <w:u w:val="single"/>
        </w:rPr>
      </w:pPr>
    </w:p>
    <w:tbl>
      <w:tblPr>
        <w:tblW w:w="9618" w:type="dxa"/>
        <w:tblInd w:w="113" w:type="dxa"/>
        <w:tblLook w:val="04A0" w:firstRow="1" w:lastRow="0" w:firstColumn="1" w:lastColumn="0" w:noHBand="0" w:noVBand="1"/>
      </w:tblPr>
      <w:tblGrid>
        <w:gridCol w:w="4126"/>
        <w:gridCol w:w="958"/>
        <w:gridCol w:w="1077"/>
        <w:gridCol w:w="1111"/>
        <w:gridCol w:w="1050"/>
        <w:gridCol w:w="1296"/>
      </w:tblGrid>
      <w:tr w:rsidR="000F78F1" w:rsidRPr="000F78F1" w14:paraId="0205A0A1" w14:textId="77777777" w:rsidTr="00C11DAC">
        <w:trPr>
          <w:trHeight w:val="761"/>
        </w:trPr>
        <w:tc>
          <w:tcPr>
            <w:tcW w:w="41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5A5F0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958" w:type="dxa"/>
            <w:tcBorders>
              <w:top w:val="single" w:sz="4" w:space="0" w:color="auto"/>
              <w:left w:val="nil"/>
              <w:bottom w:val="single" w:sz="4" w:space="0" w:color="auto"/>
              <w:right w:val="single" w:sz="4" w:space="0" w:color="auto"/>
            </w:tcBorders>
            <w:shd w:val="clear" w:color="000000" w:fill="D9D9D9"/>
            <w:vAlign w:val="center"/>
            <w:hideMark/>
          </w:tcPr>
          <w:p w14:paraId="67FB56C5"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078" w:type="dxa"/>
            <w:tcBorders>
              <w:top w:val="single" w:sz="4" w:space="0" w:color="auto"/>
              <w:left w:val="nil"/>
              <w:bottom w:val="single" w:sz="4" w:space="0" w:color="auto"/>
              <w:right w:val="single" w:sz="4" w:space="0" w:color="auto"/>
            </w:tcBorders>
            <w:shd w:val="clear" w:color="000000" w:fill="D9D9D9"/>
            <w:vAlign w:val="center"/>
            <w:hideMark/>
          </w:tcPr>
          <w:p w14:paraId="303CA04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112" w:type="dxa"/>
            <w:tcBorders>
              <w:top w:val="single" w:sz="4" w:space="0" w:color="auto"/>
              <w:left w:val="nil"/>
              <w:bottom w:val="single" w:sz="4" w:space="0" w:color="auto"/>
              <w:right w:val="single" w:sz="4" w:space="0" w:color="auto"/>
            </w:tcBorders>
            <w:shd w:val="clear" w:color="000000" w:fill="D9D9D9"/>
            <w:vAlign w:val="center"/>
            <w:hideMark/>
          </w:tcPr>
          <w:p w14:paraId="20DCAB8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CADA36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301" w:type="dxa"/>
            <w:tcBorders>
              <w:top w:val="single" w:sz="4" w:space="0" w:color="auto"/>
              <w:left w:val="nil"/>
              <w:bottom w:val="single" w:sz="4" w:space="0" w:color="auto"/>
              <w:right w:val="single" w:sz="4" w:space="0" w:color="auto"/>
            </w:tcBorders>
            <w:shd w:val="clear" w:color="000000" w:fill="D9D9D9"/>
            <w:vAlign w:val="center"/>
            <w:hideMark/>
          </w:tcPr>
          <w:p w14:paraId="3C617656"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4C2BA3B8"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2CEFFCBB"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958" w:type="dxa"/>
            <w:tcBorders>
              <w:top w:val="nil"/>
              <w:left w:val="nil"/>
              <w:bottom w:val="nil"/>
              <w:right w:val="single" w:sz="4" w:space="0" w:color="auto"/>
            </w:tcBorders>
            <w:shd w:val="clear" w:color="000000" w:fill="D9D9D9"/>
            <w:vAlign w:val="center"/>
            <w:hideMark/>
          </w:tcPr>
          <w:p w14:paraId="0DBF6D47"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78" w:type="dxa"/>
            <w:tcBorders>
              <w:top w:val="nil"/>
              <w:left w:val="nil"/>
              <w:bottom w:val="nil"/>
              <w:right w:val="single" w:sz="4" w:space="0" w:color="auto"/>
            </w:tcBorders>
            <w:shd w:val="clear" w:color="000000" w:fill="D9D9D9"/>
            <w:vAlign w:val="center"/>
            <w:hideMark/>
          </w:tcPr>
          <w:p w14:paraId="03CFF106"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112" w:type="dxa"/>
            <w:tcBorders>
              <w:top w:val="nil"/>
              <w:left w:val="nil"/>
              <w:bottom w:val="nil"/>
              <w:right w:val="single" w:sz="4" w:space="0" w:color="auto"/>
            </w:tcBorders>
            <w:shd w:val="clear" w:color="000000" w:fill="D9D9D9"/>
            <w:vAlign w:val="center"/>
            <w:hideMark/>
          </w:tcPr>
          <w:p w14:paraId="5B5E1772"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992" w:type="dxa"/>
            <w:tcBorders>
              <w:top w:val="nil"/>
              <w:left w:val="nil"/>
              <w:bottom w:val="nil"/>
              <w:right w:val="single" w:sz="4" w:space="0" w:color="auto"/>
            </w:tcBorders>
            <w:shd w:val="clear" w:color="000000" w:fill="D9D9D9"/>
            <w:vAlign w:val="center"/>
            <w:hideMark/>
          </w:tcPr>
          <w:p w14:paraId="43B646F5"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301" w:type="dxa"/>
            <w:tcBorders>
              <w:top w:val="nil"/>
              <w:left w:val="nil"/>
              <w:bottom w:val="nil"/>
              <w:right w:val="single" w:sz="4" w:space="0" w:color="auto"/>
            </w:tcBorders>
            <w:shd w:val="clear" w:color="000000" w:fill="D9D9D9"/>
            <w:vAlign w:val="center"/>
            <w:hideMark/>
          </w:tcPr>
          <w:p w14:paraId="42CCF6FA"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19417364"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4134ADF3"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Adult Services and Health and Wellbeing</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1D02108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421.237</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340EF4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418.188</w:t>
            </w:r>
          </w:p>
        </w:tc>
        <w:tc>
          <w:tcPr>
            <w:tcW w:w="1112" w:type="dxa"/>
            <w:tcBorders>
              <w:top w:val="single" w:sz="4" w:space="0" w:color="auto"/>
              <w:left w:val="nil"/>
              <w:bottom w:val="single" w:sz="4" w:space="0" w:color="auto"/>
              <w:right w:val="single" w:sz="4" w:space="0" w:color="auto"/>
            </w:tcBorders>
            <w:shd w:val="clear" w:color="000000" w:fill="D9D9D9"/>
            <w:vAlign w:val="center"/>
            <w:hideMark/>
          </w:tcPr>
          <w:p w14:paraId="1D2911C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9C9B3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-0.72%</w:t>
            </w:r>
          </w:p>
        </w:tc>
        <w:tc>
          <w:tcPr>
            <w:tcW w:w="1301" w:type="dxa"/>
            <w:tcBorders>
              <w:top w:val="single" w:sz="4" w:space="0" w:color="auto"/>
              <w:left w:val="nil"/>
              <w:bottom w:val="single" w:sz="4" w:space="0" w:color="auto"/>
              <w:right w:val="single" w:sz="4" w:space="0" w:color="auto"/>
            </w:tcBorders>
            <w:shd w:val="clear" w:color="000000" w:fill="D9D9D9"/>
            <w:vAlign w:val="center"/>
            <w:hideMark/>
          </w:tcPr>
          <w:p w14:paraId="51FAB01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3.758</w:t>
            </w:r>
          </w:p>
        </w:tc>
      </w:tr>
      <w:tr w:rsidR="000F78F1" w:rsidRPr="000F78F1" w14:paraId="35EB9155"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7EF4766D"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Education and Children's Services</w:t>
            </w:r>
          </w:p>
        </w:tc>
        <w:tc>
          <w:tcPr>
            <w:tcW w:w="958" w:type="dxa"/>
            <w:tcBorders>
              <w:top w:val="nil"/>
              <w:left w:val="nil"/>
              <w:bottom w:val="single" w:sz="4" w:space="0" w:color="auto"/>
              <w:right w:val="single" w:sz="4" w:space="0" w:color="auto"/>
            </w:tcBorders>
            <w:shd w:val="clear" w:color="auto" w:fill="auto"/>
            <w:vAlign w:val="center"/>
            <w:hideMark/>
          </w:tcPr>
          <w:p w14:paraId="03702F2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229.376</w:t>
            </w:r>
          </w:p>
        </w:tc>
        <w:tc>
          <w:tcPr>
            <w:tcW w:w="1078" w:type="dxa"/>
            <w:tcBorders>
              <w:top w:val="nil"/>
              <w:left w:val="nil"/>
              <w:bottom w:val="single" w:sz="4" w:space="0" w:color="auto"/>
              <w:right w:val="single" w:sz="4" w:space="0" w:color="auto"/>
            </w:tcBorders>
            <w:shd w:val="clear" w:color="auto" w:fill="auto"/>
            <w:vAlign w:val="center"/>
            <w:hideMark/>
          </w:tcPr>
          <w:p w14:paraId="01CDD93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240.082</w:t>
            </w:r>
          </w:p>
        </w:tc>
        <w:tc>
          <w:tcPr>
            <w:tcW w:w="1112" w:type="dxa"/>
            <w:tcBorders>
              <w:top w:val="nil"/>
              <w:left w:val="nil"/>
              <w:bottom w:val="single" w:sz="4" w:space="0" w:color="auto"/>
              <w:right w:val="single" w:sz="4" w:space="0" w:color="auto"/>
            </w:tcBorders>
            <w:shd w:val="clear" w:color="000000" w:fill="D9D9D9"/>
            <w:vAlign w:val="center"/>
            <w:hideMark/>
          </w:tcPr>
          <w:p w14:paraId="5113CC7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10.706</w:t>
            </w:r>
          </w:p>
        </w:tc>
        <w:tc>
          <w:tcPr>
            <w:tcW w:w="992" w:type="dxa"/>
            <w:tcBorders>
              <w:top w:val="nil"/>
              <w:left w:val="nil"/>
              <w:bottom w:val="single" w:sz="4" w:space="0" w:color="auto"/>
              <w:right w:val="single" w:sz="4" w:space="0" w:color="auto"/>
            </w:tcBorders>
            <w:shd w:val="clear" w:color="auto" w:fill="auto"/>
            <w:vAlign w:val="center"/>
            <w:hideMark/>
          </w:tcPr>
          <w:p w14:paraId="7F9863E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4.67%</w:t>
            </w:r>
          </w:p>
        </w:tc>
        <w:tc>
          <w:tcPr>
            <w:tcW w:w="1301" w:type="dxa"/>
            <w:tcBorders>
              <w:top w:val="nil"/>
              <w:left w:val="nil"/>
              <w:bottom w:val="single" w:sz="4" w:space="0" w:color="auto"/>
              <w:right w:val="single" w:sz="4" w:space="0" w:color="auto"/>
            </w:tcBorders>
            <w:shd w:val="clear" w:color="000000" w:fill="D9D9D9"/>
            <w:vAlign w:val="center"/>
            <w:hideMark/>
          </w:tcPr>
          <w:p w14:paraId="143E526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12.753</w:t>
            </w:r>
          </w:p>
        </w:tc>
      </w:tr>
      <w:tr w:rsidR="000F78F1" w:rsidRPr="000F78F1" w14:paraId="555B20EB"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29333CE7"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Growth, Environment and Transport</w:t>
            </w:r>
          </w:p>
        </w:tc>
        <w:tc>
          <w:tcPr>
            <w:tcW w:w="958" w:type="dxa"/>
            <w:tcBorders>
              <w:top w:val="nil"/>
              <w:left w:val="nil"/>
              <w:bottom w:val="single" w:sz="4" w:space="0" w:color="auto"/>
              <w:right w:val="single" w:sz="4" w:space="0" w:color="auto"/>
            </w:tcBorders>
            <w:shd w:val="clear" w:color="auto" w:fill="auto"/>
            <w:vAlign w:val="center"/>
            <w:hideMark/>
          </w:tcPr>
          <w:p w14:paraId="2DB4274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158.488</w:t>
            </w:r>
          </w:p>
        </w:tc>
        <w:tc>
          <w:tcPr>
            <w:tcW w:w="1078" w:type="dxa"/>
            <w:tcBorders>
              <w:top w:val="nil"/>
              <w:left w:val="nil"/>
              <w:bottom w:val="single" w:sz="4" w:space="0" w:color="auto"/>
              <w:right w:val="single" w:sz="4" w:space="0" w:color="auto"/>
            </w:tcBorders>
            <w:shd w:val="clear" w:color="auto" w:fill="auto"/>
            <w:vAlign w:val="center"/>
            <w:hideMark/>
          </w:tcPr>
          <w:p w14:paraId="7353EC4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159.283</w:t>
            </w:r>
          </w:p>
        </w:tc>
        <w:tc>
          <w:tcPr>
            <w:tcW w:w="1112" w:type="dxa"/>
            <w:tcBorders>
              <w:top w:val="nil"/>
              <w:left w:val="nil"/>
              <w:bottom w:val="single" w:sz="4" w:space="0" w:color="auto"/>
              <w:right w:val="single" w:sz="4" w:space="0" w:color="auto"/>
            </w:tcBorders>
            <w:shd w:val="clear" w:color="000000" w:fill="D9D9D9"/>
            <w:vAlign w:val="center"/>
            <w:hideMark/>
          </w:tcPr>
          <w:p w14:paraId="759CCBB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0.795</w:t>
            </w:r>
          </w:p>
        </w:tc>
        <w:tc>
          <w:tcPr>
            <w:tcW w:w="992" w:type="dxa"/>
            <w:tcBorders>
              <w:top w:val="nil"/>
              <w:left w:val="nil"/>
              <w:bottom w:val="single" w:sz="4" w:space="0" w:color="auto"/>
              <w:right w:val="single" w:sz="4" w:space="0" w:color="auto"/>
            </w:tcBorders>
            <w:shd w:val="clear" w:color="auto" w:fill="auto"/>
            <w:vAlign w:val="center"/>
            <w:hideMark/>
          </w:tcPr>
          <w:p w14:paraId="1B41116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0.50%</w:t>
            </w:r>
          </w:p>
        </w:tc>
        <w:tc>
          <w:tcPr>
            <w:tcW w:w="1301" w:type="dxa"/>
            <w:tcBorders>
              <w:top w:val="nil"/>
              <w:left w:val="nil"/>
              <w:bottom w:val="single" w:sz="4" w:space="0" w:color="auto"/>
              <w:right w:val="single" w:sz="4" w:space="0" w:color="auto"/>
            </w:tcBorders>
            <w:shd w:val="clear" w:color="000000" w:fill="D9D9D9"/>
            <w:vAlign w:val="center"/>
            <w:hideMark/>
          </w:tcPr>
          <w:p w14:paraId="2A45DDC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1.985</w:t>
            </w:r>
          </w:p>
        </w:tc>
      </w:tr>
      <w:tr w:rsidR="000F78F1" w:rsidRPr="000F78F1" w14:paraId="3FF74067"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240AC598"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Resources</w:t>
            </w:r>
          </w:p>
        </w:tc>
        <w:tc>
          <w:tcPr>
            <w:tcW w:w="958" w:type="dxa"/>
            <w:tcBorders>
              <w:top w:val="nil"/>
              <w:left w:val="nil"/>
              <w:bottom w:val="single" w:sz="4" w:space="0" w:color="auto"/>
              <w:right w:val="single" w:sz="4" w:space="0" w:color="auto"/>
            </w:tcBorders>
            <w:shd w:val="clear" w:color="auto" w:fill="auto"/>
            <w:vAlign w:val="center"/>
            <w:hideMark/>
          </w:tcPr>
          <w:p w14:paraId="4C4B131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112.419</w:t>
            </w:r>
          </w:p>
        </w:tc>
        <w:tc>
          <w:tcPr>
            <w:tcW w:w="1078" w:type="dxa"/>
            <w:tcBorders>
              <w:top w:val="nil"/>
              <w:left w:val="nil"/>
              <w:bottom w:val="single" w:sz="4" w:space="0" w:color="auto"/>
              <w:right w:val="single" w:sz="4" w:space="0" w:color="auto"/>
            </w:tcBorders>
            <w:shd w:val="clear" w:color="auto" w:fill="auto"/>
            <w:vAlign w:val="center"/>
            <w:hideMark/>
          </w:tcPr>
          <w:p w14:paraId="7729108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111.922</w:t>
            </w:r>
          </w:p>
        </w:tc>
        <w:tc>
          <w:tcPr>
            <w:tcW w:w="1112" w:type="dxa"/>
            <w:tcBorders>
              <w:top w:val="nil"/>
              <w:left w:val="nil"/>
              <w:bottom w:val="single" w:sz="4" w:space="0" w:color="auto"/>
              <w:right w:val="single" w:sz="4" w:space="0" w:color="auto"/>
            </w:tcBorders>
            <w:shd w:val="clear" w:color="000000" w:fill="D9D9D9"/>
            <w:vAlign w:val="center"/>
            <w:hideMark/>
          </w:tcPr>
          <w:p w14:paraId="7D6C18C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-0.497</w:t>
            </w:r>
          </w:p>
        </w:tc>
        <w:tc>
          <w:tcPr>
            <w:tcW w:w="992" w:type="dxa"/>
            <w:tcBorders>
              <w:top w:val="nil"/>
              <w:left w:val="nil"/>
              <w:bottom w:val="single" w:sz="4" w:space="0" w:color="auto"/>
              <w:right w:val="single" w:sz="4" w:space="0" w:color="auto"/>
            </w:tcBorders>
            <w:shd w:val="clear" w:color="auto" w:fill="auto"/>
            <w:vAlign w:val="center"/>
            <w:hideMark/>
          </w:tcPr>
          <w:p w14:paraId="37008A2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-0.44%</w:t>
            </w:r>
          </w:p>
        </w:tc>
        <w:tc>
          <w:tcPr>
            <w:tcW w:w="1301" w:type="dxa"/>
            <w:tcBorders>
              <w:top w:val="nil"/>
              <w:left w:val="nil"/>
              <w:bottom w:val="single" w:sz="4" w:space="0" w:color="auto"/>
              <w:right w:val="single" w:sz="4" w:space="0" w:color="auto"/>
            </w:tcBorders>
            <w:shd w:val="clear" w:color="000000" w:fill="D9D9D9"/>
            <w:vAlign w:val="center"/>
            <w:hideMark/>
          </w:tcPr>
          <w:p w14:paraId="2AC0C2A0"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1.064</w:t>
            </w:r>
          </w:p>
        </w:tc>
      </w:tr>
      <w:tr w:rsidR="000F78F1" w:rsidRPr="000F78F1" w14:paraId="62B38896" w14:textId="77777777" w:rsidTr="00C11DAC">
        <w:trPr>
          <w:trHeight w:val="298"/>
        </w:trPr>
        <w:tc>
          <w:tcPr>
            <w:tcW w:w="4177" w:type="dxa"/>
            <w:tcBorders>
              <w:top w:val="nil"/>
              <w:left w:val="single" w:sz="8" w:space="0" w:color="auto"/>
              <w:bottom w:val="single" w:sz="4" w:space="0" w:color="auto"/>
              <w:right w:val="single" w:sz="4" w:space="0" w:color="auto"/>
            </w:tcBorders>
            <w:shd w:val="clear" w:color="000000" w:fill="D9D9D9"/>
            <w:vAlign w:val="center"/>
            <w:hideMark/>
          </w:tcPr>
          <w:p w14:paraId="0B6E85D0"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Chief Executive Services</w:t>
            </w:r>
          </w:p>
        </w:tc>
        <w:tc>
          <w:tcPr>
            <w:tcW w:w="958" w:type="dxa"/>
            <w:tcBorders>
              <w:top w:val="nil"/>
              <w:left w:val="nil"/>
              <w:bottom w:val="single" w:sz="4" w:space="0" w:color="auto"/>
              <w:right w:val="single" w:sz="4" w:space="0" w:color="auto"/>
            </w:tcBorders>
            <w:shd w:val="clear" w:color="auto" w:fill="auto"/>
            <w:vAlign w:val="center"/>
            <w:hideMark/>
          </w:tcPr>
          <w:p w14:paraId="2A10409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26.587</w:t>
            </w:r>
          </w:p>
        </w:tc>
        <w:tc>
          <w:tcPr>
            <w:tcW w:w="1078" w:type="dxa"/>
            <w:tcBorders>
              <w:top w:val="nil"/>
              <w:left w:val="nil"/>
              <w:bottom w:val="single" w:sz="4" w:space="0" w:color="auto"/>
              <w:right w:val="single" w:sz="4" w:space="0" w:color="auto"/>
            </w:tcBorders>
            <w:shd w:val="clear" w:color="auto" w:fill="auto"/>
            <w:vAlign w:val="center"/>
            <w:hideMark/>
          </w:tcPr>
          <w:p w14:paraId="4C8B04B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26.621</w:t>
            </w:r>
          </w:p>
        </w:tc>
        <w:tc>
          <w:tcPr>
            <w:tcW w:w="1112" w:type="dxa"/>
            <w:tcBorders>
              <w:top w:val="nil"/>
              <w:left w:val="nil"/>
              <w:bottom w:val="single" w:sz="4" w:space="0" w:color="auto"/>
              <w:right w:val="single" w:sz="4" w:space="0" w:color="auto"/>
            </w:tcBorders>
            <w:shd w:val="clear" w:color="000000" w:fill="D9D9D9"/>
            <w:vAlign w:val="center"/>
            <w:hideMark/>
          </w:tcPr>
          <w:p w14:paraId="0C41109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0.034</w:t>
            </w:r>
          </w:p>
        </w:tc>
        <w:tc>
          <w:tcPr>
            <w:tcW w:w="992" w:type="dxa"/>
            <w:tcBorders>
              <w:top w:val="nil"/>
              <w:left w:val="nil"/>
              <w:bottom w:val="single" w:sz="4" w:space="0" w:color="auto"/>
              <w:right w:val="single" w:sz="4" w:space="0" w:color="auto"/>
            </w:tcBorders>
            <w:shd w:val="clear" w:color="auto" w:fill="auto"/>
            <w:vAlign w:val="center"/>
            <w:hideMark/>
          </w:tcPr>
          <w:p w14:paraId="3725389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0.13%</w:t>
            </w:r>
          </w:p>
        </w:tc>
        <w:tc>
          <w:tcPr>
            <w:tcW w:w="1301" w:type="dxa"/>
            <w:tcBorders>
              <w:top w:val="nil"/>
              <w:left w:val="nil"/>
              <w:bottom w:val="single" w:sz="4" w:space="0" w:color="auto"/>
              <w:right w:val="single" w:sz="4" w:space="0" w:color="auto"/>
            </w:tcBorders>
            <w:shd w:val="clear" w:color="000000" w:fill="D9D9D9"/>
            <w:vAlign w:val="center"/>
            <w:hideMark/>
          </w:tcPr>
          <w:p w14:paraId="29F97969"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-1.820</w:t>
            </w:r>
          </w:p>
        </w:tc>
      </w:tr>
      <w:tr w:rsidR="000F78F1" w:rsidRPr="000F78F1" w14:paraId="40DF2494" w14:textId="77777777" w:rsidTr="00C11DAC">
        <w:trPr>
          <w:trHeight w:val="313"/>
        </w:trPr>
        <w:tc>
          <w:tcPr>
            <w:tcW w:w="4177" w:type="dxa"/>
            <w:tcBorders>
              <w:top w:val="nil"/>
              <w:left w:val="single" w:sz="8" w:space="0" w:color="auto"/>
              <w:bottom w:val="single" w:sz="8" w:space="0" w:color="auto"/>
              <w:right w:val="single" w:sz="4" w:space="0" w:color="auto"/>
            </w:tcBorders>
            <w:shd w:val="clear" w:color="000000" w:fill="D9D9D9"/>
            <w:vAlign w:val="center"/>
            <w:hideMark/>
          </w:tcPr>
          <w:p w14:paraId="1C8BBB5C"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Grand Total</w:t>
            </w:r>
          </w:p>
        </w:tc>
        <w:tc>
          <w:tcPr>
            <w:tcW w:w="958" w:type="dxa"/>
            <w:tcBorders>
              <w:top w:val="nil"/>
              <w:left w:val="nil"/>
              <w:bottom w:val="single" w:sz="8" w:space="0" w:color="auto"/>
              <w:right w:val="single" w:sz="4" w:space="0" w:color="auto"/>
            </w:tcBorders>
            <w:shd w:val="clear" w:color="000000" w:fill="D9D9D9"/>
            <w:vAlign w:val="center"/>
            <w:hideMark/>
          </w:tcPr>
          <w:p w14:paraId="379F7C3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948.107</w:t>
            </w:r>
          </w:p>
        </w:tc>
        <w:tc>
          <w:tcPr>
            <w:tcW w:w="1078" w:type="dxa"/>
            <w:tcBorders>
              <w:top w:val="nil"/>
              <w:left w:val="nil"/>
              <w:bottom w:val="single" w:sz="8" w:space="0" w:color="auto"/>
              <w:right w:val="single" w:sz="4" w:space="0" w:color="auto"/>
            </w:tcBorders>
            <w:shd w:val="clear" w:color="000000" w:fill="D9D9D9"/>
            <w:vAlign w:val="center"/>
            <w:hideMark/>
          </w:tcPr>
          <w:p w14:paraId="7C6DCC0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956.096</w:t>
            </w:r>
          </w:p>
        </w:tc>
        <w:tc>
          <w:tcPr>
            <w:tcW w:w="1112" w:type="dxa"/>
            <w:tcBorders>
              <w:top w:val="nil"/>
              <w:left w:val="nil"/>
              <w:bottom w:val="single" w:sz="8" w:space="0" w:color="auto"/>
              <w:right w:val="single" w:sz="4" w:space="0" w:color="auto"/>
            </w:tcBorders>
            <w:shd w:val="clear" w:color="000000" w:fill="D9D9D9"/>
            <w:vAlign w:val="center"/>
            <w:hideMark/>
          </w:tcPr>
          <w:p w14:paraId="1B393EA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7.989</w:t>
            </w:r>
          </w:p>
        </w:tc>
        <w:tc>
          <w:tcPr>
            <w:tcW w:w="992" w:type="dxa"/>
            <w:tcBorders>
              <w:top w:val="nil"/>
              <w:left w:val="nil"/>
              <w:bottom w:val="single" w:sz="8" w:space="0" w:color="auto"/>
              <w:right w:val="single" w:sz="4" w:space="0" w:color="auto"/>
            </w:tcBorders>
            <w:shd w:val="clear" w:color="000000" w:fill="D9D9D9"/>
            <w:vAlign w:val="center"/>
            <w:hideMark/>
          </w:tcPr>
          <w:p w14:paraId="7E24535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0.84%</w:t>
            </w:r>
          </w:p>
        </w:tc>
        <w:tc>
          <w:tcPr>
            <w:tcW w:w="1301" w:type="dxa"/>
            <w:tcBorders>
              <w:top w:val="nil"/>
              <w:left w:val="nil"/>
              <w:bottom w:val="single" w:sz="4" w:space="0" w:color="auto"/>
              <w:right w:val="single" w:sz="4" w:space="0" w:color="auto"/>
            </w:tcBorders>
            <w:shd w:val="clear" w:color="000000" w:fill="D9D9D9"/>
            <w:vAlign w:val="center"/>
            <w:hideMark/>
          </w:tcPr>
          <w:p w14:paraId="529F35C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17.740</w:t>
            </w:r>
          </w:p>
        </w:tc>
      </w:tr>
    </w:tbl>
    <w:p w14:paraId="4B8B2352" w14:textId="77777777" w:rsidR="000F78F1" w:rsidRPr="000F78F1" w:rsidRDefault="000F78F1" w:rsidP="000F78F1">
      <w:pPr>
        <w:spacing w:after="0"/>
        <w:rPr>
          <w:rFonts w:cs="Arial"/>
          <w:b/>
          <w:u w:val="single"/>
        </w:rPr>
      </w:pPr>
    </w:p>
    <w:p w14:paraId="33D6EDA9" w14:textId="77777777" w:rsidR="000F78F1" w:rsidRPr="000F78F1" w:rsidRDefault="000F78F1" w:rsidP="000F78F1">
      <w:pPr>
        <w:numPr>
          <w:ilvl w:val="0"/>
          <w:numId w:val="5"/>
        </w:numPr>
        <w:autoSpaceDE/>
        <w:autoSpaceDN/>
        <w:adjustRightInd/>
        <w:spacing w:after="0" w:line="259" w:lineRule="auto"/>
        <w:contextualSpacing/>
        <w:rPr>
          <w:rFonts w:cs="Arial"/>
          <w:b/>
          <w:u w:val="single"/>
        </w:rPr>
      </w:pPr>
      <w:r w:rsidRPr="000F78F1">
        <w:rPr>
          <w:rFonts w:cs="Arial"/>
          <w:b/>
          <w:u w:val="single"/>
        </w:rPr>
        <w:t xml:space="preserve">Executive Summary </w:t>
      </w:r>
    </w:p>
    <w:p w14:paraId="5768434F" w14:textId="77777777" w:rsidR="000F78F1" w:rsidRPr="000F78F1" w:rsidRDefault="000F78F1" w:rsidP="000F78F1">
      <w:pPr>
        <w:spacing w:after="0"/>
        <w:rPr>
          <w:rFonts w:cs="Arial"/>
          <w:b/>
          <w:u w:val="single"/>
        </w:rPr>
      </w:pPr>
    </w:p>
    <w:p w14:paraId="55EB2283" w14:textId="67EE112C" w:rsidR="000F78F1" w:rsidRPr="000F78F1" w:rsidRDefault="000F78F1" w:rsidP="000F78F1">
      <w:pPr>
        <w:spacing w:after="0"/>
        <w:rPr>
          <w:rFonts w:cs="Arial"/>
        </w:rPr>
      </w:pPr>
      <w:r w:rsidRPr="000F78F1">
        <w:rPr>
          <w:rFonts w:eastAsia="Times New Roman" w:cs="Arial"/>
          <w:lang w:eastAsia="en-GB"/>
        </w:rPr>
        <w:t xml:space="preserve">This report provides </w:t>
      </w:r>
      <w:r w:rsidR="00AA7F2A">
        <w:rPr>
          <w:rFonts w:eastAsia="Times New Roman" w:cs="Arial"/>
          <w:lang w:eastAsia="en-GB"/>
        </w:rPr>
        <w:t xml:space="preserve">an </w:t>
      </w:r>
      <w:r w:rsidRPr="000F78F1">
        <w:rPr>
          <w:rFonts w:eastAsia="Times New Roman" w:cs="Arial"/>
          <w:lang w:eastAsia="en-GB"/>
        </w:rPr>
        <w:t>update to Cabinet on the county council's forecast 2022/23 revenue financial position as at the end of September 2022</w:t>
      </w:r>
      <w:bookmarkStart w:id="2" w:name="_Int_RKysv9Gt"/>
      <w:r w:rsidRPr="000F78F1">
        <w:rPr>
          <w:rFonts w:eastAsia="Times New Roman" w:cs="Arial"/>
          <w:lang w:eastAsia="en-GB"/>
        </w:rPr>
        <w:t xml:space="preserve">. </w:t>
      </w:r>
      <w:bookmarkEnd w:id="2"/>
      <w:r w:rsidRPr="000F78F1">
        <w:rPr>
          <w:rFonts w:cs="Arial"/>
        </w:rPr>
        <w:t>The forecast outturn for 2022/23 is outlined in the table above, with a £7.989m overspend forecast, which by way of context is 0.84% of the county council's net budget.  This represents a significant improvement across all Directorates of almost £10m from the £17.7m overspend that had been forecast at Quarter 1 and reported to Cabinet in September. The improvement reflects services having undertaken detailed reviews of their cost drivers and identifying actions to reduce costs to work towards achieving a break-even position including tighter control of vacancy management. The focus will remain on reducing costs further in the second half of the year to address the remaining forecast overspend.</w:t>
      </w:r>
    </w:p>
    <w:p w14:paraId="3897DC40" w14:textId="77777777" w:rsidR="000F78F1" w:rsidRPr="000F78F1" w:rsidRDefault="000F78F1" w:rsidP="000F78F1">
      <w:pPr>
        <w:spacing w:after="0"/>
        <w:rPr>
          <w:rFonts w:cs="Arial"/>
          <w:highlight w:val="yellow"/>
        </w:rPr>
      </w:pPr>
    </w:p>
    <w:p w14:paraId="34E942DD" w14:textId="77777777" w:rsidR="000F78F1" w:rsidRPr="000F78F1" w:rsidRDefault="000F78F1" w:rsidP="000F78F1">
      <w:pPr>
        <w:spacing w:after="0"/>
        <w:rPr>
          <w:rFonts w:cs="Arial"/>
        </w:rPr>
      </w:pPr>
      <w:r w:rsidRPr="000F78F1">
        <w:rPr>
          <w:rFonts w:cs="Arial"/>
        </w:rPr>
        <w:t xml:space="preserve">We are now experiencing an increased demand for services particularly around adult social care support for residents in their own homes and children’s social care overall.  We are still feeling the impact of the acute health sector whilst it attempts to return to business as usual, with again increased demand to free up hospital beds and offer alternative care solutions. Longer term, it is anticipated that we will see additional demand continuing across our Adults and Children's services, along with inflationary pressure from providers of care </w:t>
      </w:r>
      <w:bookmarkStart w:id="3" w:name="_Int_3dZ94QO5"/>
      <w:proofErr w:type="gramStart"/>
      <w:r w:rsidRPr="000F78F1">
        <w:rPr>
          <w:rFonts w:cs="Arial"/>
        </w:rPr>
        <w:t>and also</w:t>
      </w:r>
      <w:bookmarkEnd w:id="3"/>
      <w:proofErr w:type="gramEnd"/>
      <w:r w:rsidRPr="000F78F1">
        <w:rPr>
          <w:rFonts w:cs="Arial"/>
        </w:rPr>
        <w:t xml:space="preserve"> </w:t>
      </w:r>
      <w:bookmarkStart w:id="4" w:name="_Int_dzwYB1fe"/>
      <w:r w:rsidRPr="000F78F1">
        <w:rPr>
          <w:rFonts w:cs="Arial"/>
        </w:rPr>
        <w:t>as a consequence of</w:t>
      </w:r>
      <w:bookmarkEnd w:id="4"/>
      <w:r w:rsidRPr="000F78F1">
        <w:rPr>
          <w:rFonts w:cs="Arial"/>
        </w:rPr>
        <w:t xml:space="preserve"> the implementation of the Fair Cost of Care nationally.</w:t>
      </w:r>
    </w:p>
    <w:p w14:paraId="73B6FA4A" w14:textId="77777777" w:rsidR="000F78F1" w:rsidRPr="000F78F1" w:rsidRDefault="000F78F1" w:rsidP="000F78F1">
      <w:pPr>
        <w:spacing w:after="0"/>
        <w:rPr>
          <w:rFonts w:cs="Arial"/>
        </w:rPr>
      </w:pPr>
    </w:p>
    <w:p w14:paraId="4DACD933" w14:textId="77777777" w:rsidR="000F78F1" w:rsidRPr="000F78F1" w:rsidRDefault="000F78F1" w:rsidP="000F78F1">
      <w:pPr>
        <w:spacing w:after="0"/>
        <w:rPr>
          <w:rFonts w:cs="Arial"/>
        </w:rPr>
      </w:pPr>
      <w:r w:rsidRPr="000F78F1">
        <w:rPr>
          <w:rFonts w:cs="Arial"/>
        </w:rPr>
        <w:t xml:space="preserve">The price and demand pressure being experienced have led to an overspend being forecast at Quarter 2 with a risk that the current volatility in actual demand could lead to a significant variance from the current forecast as we move through the year. This is particularly highlighted in Children's Social Care with an overspend of c£10m forecast although this is an improvement of £2m from the position reported at Quarter 1. In adult services, whilst there are still pressures in terms of demand and cost of packages, these have been offset by some one-off savings particularly in relation to income. </w:t>
      </w:r>
    </w:p>
    <w:p w14:paraId="7B155E27" w14:textId="77777777" w:rsidR="000F78F1" w:rsidRPr="000F78F1" w:rsidRDefault="000F78F1" w:rsidP="000F78F1">
      <w:pPr>
        <w:spacing w:after="0"/>
        <w:rPr>
          <w:rFonts w:eastAsia="Times New Roman" w:cs="Arial"/>
          <w:highlight w:val="yellow"/>
          <w:lang w:eastAsia="en-GB"/>
        </w:rPr>
      </w:pPr>
    </w:p>
    <w:p w14:paraId="7DC9FC32" w14:textId="77777777" w:rsidR="000F78F1" w:rsidRPr="000F78F1" w:rsidRDefault="000F78F1" w:rsidP="000F78F1">
      <w:pPr>
        <w:spacing w:after="0"/>
        <w:rPr>
          <w:rFonts w:eastAsia="Times New Roman" w:cs="Arial"/>
          <w:lang w:eastAsia="en-GB"/>
        </w:rPr>
      </w:pPr>
      <w:r w:rsidRPr="000F78F1">
        <w:rPr>
          <w:rFonts w:eastAsia="Times New Roman" w:cs="Arial"/>
          <w:lang w:eastAsia="en-GB"/>
        </w:rPr>
        <w:t xml:space="preserve">During the last </w:t>
      </w:r>
      <w:bookmarkStart w:id="5" w:name="_Int_0tz9UDgz"/>
      <w:r w:rsidRPr="000F78F1">
        <w:rPr>
          <w:rFonts w:eastAsia="Times New Roman" w:cs="Arial"/>
          <w:lang w:eastAsia="en-GB"/>
        </w:rPr>
        <w:t>two financial year</w:t>
      </w:r>
      <w:bookmarkEnd w:id="5"/>
      <w:r w:rsidRPr="000F78F1">
        <w:rPr>
          <w:rFonts w:eastAsia="Times New Roman" w:cs="Arial"/>
          <w:lang w:eastAsia="en-GB"/>
        </w:rPr>
        <w:t xml:space="preserve">s there were multiple grants awarded by the Government to local authorities to support then during the pandemic, these have largely </w:t>
      </w:r>
      <w:bookmarkStart w:id="6" w:name="_Int_c5nyCDTw"/>
      <w:r w:rsidRPr="000F78F1">
        <w:rPr>
          <w:rFonts w:eastAsia="Times New Roman" w:cs="Arial"/>
          <w:lang w:eastAsia="en-GB"/>
        </w:rPr>
        <w:t>come to an end</w:t>
      </w:r>
      <w:bookmarkEnd w:id="6"/>
      <w:r w:rsidRPr="000F78F1">
        <w:rPr>
          <w:rFonts w:eastAsia="Times New Roman" w:cs="Arial"/>
          <w:lang w:eastAsia="en-GB"/>
        </w:rPr>
        <w:t xml:space="preserve">. We were able to carry forward some Contain Outbreak </w:t>
      </w:r>
      <w:r w:rsidRPr="000F78F1">
        <w:rPr>
          <w:rFonts w:eastAsia="Times New Roman" w:cs="Arial"/>
          <w:lang w:eastAsia="en-GB"/>
        </w:rPr>
        <w:lastRenderedPageBreak/>
        <w:t xml:space="preserve">Management Fund grant for use to contain any further outbreaks and this is being closely monitored. </w:t>
      </w:r>
    </w:p>
    <w:p w14:paraId="48DCF815" w14:textId="77777777" w:rsidR="000F78F1" w:rsidRPr="000F78F1" w:rsidRDefault="000F78F1" w:rsidP="000F78F1">
      <w:pPr>
        <w:spacing w:after="0"/>
        <w:rPr>
          <w:rFonts w:cs="Arial"/>
        </w:rPr>
      </w:pPr>
    </w:p>
    <w:p w14:paraId="60262973" w14:textId="77777777" w:rsidR="000F78F1" w:rsidRPr="000F78F1" w:rsidRDefault="000F78F1" w:rsidP="000F78F1">
      <w:pPr>
        <w:spacing w:after="0"/>
        <w:rPr>
          <w:rFonts w:cs="Arial"/>
        </w:rPr>
      </w:pPr>
      <w:r w:rsidRPr="000F78F1">
        <w:rPr>
          <w:rFonts w:cs="Arial"/>
        </w:rPr>
        <w:t>The savings that have been agreed to date are also closely monitored. There is a combination of savings that were planned to be delivered in 2021/22 or earlier and were delayed due to the pandemic, and the budgeted savings agreed to be reprofiled for 2022/23</w:t>
      </w:r>
      <w:bookmarkStart w:id="7" w:name="_Int_BatlyQpH"/>
      <w:r w:rsidRPr="000F78F1">
        <w:rPr>
          <w:rFonts w:cs="Arial"/>
        </w:rPr>
        <w:t xml:space="preserve">. </w:t>
      </w:r>
      <w:bookmarkEnd w:id="7"/>
      <w:r w:rsidRPr="000F78F1">
        <w:rPr>
          <w:rFonts w:cs="Arial"/>
        </w:rPr>
        <w:t xml:space="preserve">As all restrictions have broadly been lifted and services return to providing services closer to the </w:t>
      </w:r>
      <w:proofErr w:type="gramStart"/>
      <w:r w:rsidRPr="000F78F1">
        <w:rPr>
          <w:rFonts w:cs="Arial"/>
        </w:rPr>
        <w:t>levels</w:t>
      </w:r>
      <w:proofErr w:type="gramEnd"/>
      <w:r w:rsidRPr="000F78F1">
        <w:rPr>
          <w:rFonts w:cs="Arial"/>
        </w:rPr>
        <w:t xml:space="preserve"> pre-pandemic, they are in a better position to monitor and deliver the savings that are built into the budget. </w:t>
      </w:r>
    </w:p>
    <w:p w14:paraId="3311093A" w14:textId="77777777" w:rsidR="000F78F1" w:rsidRPr="000F78F1" w:rsidRDefault="000F78F1" w:rsidP="000F78F1">
      <w:pPr>
        <w:spacing w:after="0"/>
        <w:rPr>
          <w:rFonts w:cs="Arial"/>
        </w:rPr>
      </w:pPr>
    </w:p>
    <w:p w14:paraId="2F9BD7DA" w14:textId="3315BE98" w:rsidR="000F78F1" w:rsidRPr="000F78F1" w:rsidRDefault="000F78F1" w:rsidP="000F78F1">
      <w:pPr>
        <w:spacing w:after="0"/>
        <w:rPr>
          <w:rFonts w:cs="Arial"/>
        </w:rPr>
      </w:pPr>
      <w:r w:rsidRPr="000F78F1">
        <w:rPr>
          <w:rFonts w:cs="Arial"/>
        </w:rPr>
        <w:t xml:space="preserve">At November Cabinet, a further c£86m of additional savings proposals were agreed and strategic targets of £32m to help balance the budget over the medium-term financial period. Some of these savings form part of the 2022/23 budget monitoring position, as following a review of trends over the past five years it has been confirmed that some underspends are recurrent and will therefore be removed from the budget from 2023/24. </w:t>
      </w:r>
      <w:proofErr w:type="gramStart"/>
      <w:r w:rsidRPr="000F78F1">
        <w:rPr>
          <w:rFonts w:cs="Arial"/>
        </w:rPr>
        <w:t>In order to</w:t>
      </w:r>
      <w:proofErr w:type="gramEnd"/>
      <w:r w:rsidRPr="000F78F1">
        <w:rPr>
          <w:rFonts w:cs="Arial"/>
        </w:rPr>
        <w:t xml:space="preserve"> monitor the delivery of both those savings previously agreed and still to be delivered as well as the new package of savings to be agreed in setting the 2023/24 budget, each Directorate will have a Finance Monitoring Board. The purpose of the Boards </w:t>
      </w:r>
      <w:proofErr w:type="gramStart"/>
      <w:r w:rsidRPr="000F78F1">
        <w:rPr>
          <w:rFonts w:cs="Arial"/>
        </w:rPr>
        <w:t>are</w:t>
      </w:r>
      <w:proofErr w:type="gramEnd"/>
      <w:r w:rsidRPr="000F78F1">
        <w:rPr>
          <w:rFonts w:cs="Arial"/>
        </w:rPr>
        <w:t xml:space="preserve"> to challenge and monitor delivery of savings, in addition to removing barriers to delivery</w:t>
      </w:r>
      <w:r w:rsidR="00AA7F2A">
        <w:rPr>
          <w:rFonts w:cs="Arial"/>
        </w:rPr>
        <w:t>,</w:t>
      </w:r>
      <w:r w:rsidRPr="000F78F1">
        <w:rPr>
          <w:rFonts w:cs="Arial"/>
        </w:rPr>
        <w:t xml:space="preserve"> as well as escalating any issues to ensure savings are delivered within their profiled timescales and earlier if possible. </w:t>
      </w:r>
    </w:p>
    <w:p w14:paraId="08B4A19D" w14:textId="77777777" w:rsidR="000F78F1" w:rsidRPr="000F78F1" w:rsidRDefault="000F78F1" w:rsidP="000F78F1">
      <w:pPr>
        <w:spacing w:after="0"/>
        <w:rPr>
          <w:rFonts w:cs="Arial"/>
        </w:rPr>
      </w:pPr>
    </w:p>
    <w:p w14:paraId="14A8A83A" w14:textId="77777777" w:rsidR="000F78F1" w:rsidRPr="000F78F1" w:rsidRDefault="000F78F1" w:rsidP="000F78F1">
      <w:pPr>
        <w:spacing w:after="0"/>
        <w:rPr>
          <w:rFonts w:cs="Arial"/>
          <w:highlight w:val="yellow"/>
        </w:rPr>
      </w:pPr>
    </w:p>
    <w:p w14:paraId="254A88A5" w14:textId="77777777" w:rsidR="000F78F1" w:rsidRPr="000F78F1" w:rsidRDefault="000F78F1" w:rsidP="000F78F1">
      <w:pPr>
        <w:spacing w:after="0"/>
        <w:rPr>
          <w:rFonts w:cs="Arial"/>
          <w:highlight w:val="yellow"/>
        </w:rPr>
      </w:pPr>
    </w:p>
    <w:p w14:paraId="3768F809" w14:textId="77777777" w:rsidR="000F78F1" w:rsidRPr="000F78F1" w:rsidRDefault="000F78F1" w:rsidP="000F78F1">
      <w:pPr>
        <w:spacing w:after="0"/>
        <w:rPr>
          <w:rFonts w:cs="Arial"/>
          <w:highlight w:val="yellow"/>
        </w:rPr>
      </w:pPr>
    </w:p>
    <w:p w14:paraId="51003FCB" w14:textId="77777777" w:rsidR="000F78F1" w:rsidRPr="000F78F1" w:rsidRDefault="000F78F1" w:rsidP="000F78F1">
      <w:pPr>
        <w:spacing w:after="0"/>
        <w:rPr>
          <w:rFonts w:cs="Arial"/>
          <w:highlight w:val="yellow"/>
        </w:rPr>
      </w:pPr>
    </w:p>
    <w:p w14:paraId="119C3660" w14:textId="77777777" w:rsidR="000F78F1" w:rsidRPr="000F78F1" w:rsidRDefault="000F78F1" w:rsidP="000F78F1">
      <w:pPr>
        <w:spacing w:after="0"/>
        <w:rPr>
          <w:rFonts w:cs="Arial"/>
          <w:highlight w:val="yellow"/>
        </w:rPr>
      </w:pPr>
    </w:p>
    <w:p w14:paraId="30DEBC5F" w14:textId="77777777" w:rsidR="000F78F1" w:rsidRPr="000F78F1" w:rsidRDefault="000F78F1" w:rsidP="000F78F1">
      <w:pPr>
        <w:spacing w:after="0"/>
        <w:rPr>
          <w:rFonts w:cs="Arial"/>
          <w:highlight w:val="yellow"/>
        </w:rPr>
      </w:pPr>
    </w:p>
    <w:p w14:paraId="6BED4487" w14:textId="77777777" w:rsidR="000F78F1" w:rsidRPr="000F78F1" w:rsidRDefault="000F78F1" w:rsidP="000F78F1">
      <w:pPr>
        <w:spacing w:after="0"/>
        <w:rPr>
          <w:rFonts w:cs="Arial"/>
          <w:highlight w:val="yellow"/>
        </w:rPr>
      </w:pPr>
    </w:p>
    <w:p w14:paraId="086ADBD8" w14:textId="77777777" w:rsidR="000F78F1" w:rsidRPr="000F78F1" w:rsidRDefault="000F78F1" w:rsidP="000F78F1">
      <w:pPr>
        <w:spacing w:after="0"/>
        <w:rPr>
          <w:rFonts w:cs="Arial"/>
          <w:highlight w:val="yellow"/>
        </w:rPr>
      </w:pPr>
    </w:p>
    <w:p w14:paraId="0680970F" w14:textId="77777777" w:rsidR="000F78F1" w:rsidRPr="000F78F1" w:rsidRDefault="000F78F1" w:rsidP="000F78F1">
      <w:pPr>
        <w:spacing w:after="0"/>
        <w:rPr>
          <w:rFonts w:cs="Arial"/>
          <w:highlight w:val="yellow"/>
        </w:rPr>
      </w:pPr>
    </w:p>
    <w:p w14:paraId="0E2FC6A9" w14:textId="77777777" w:rsidR="000F78F1" w:rsidRPr="000F78F1" w:rsidRDefault="000F78F1" w:rsidP="000F78F1">
      <w:pPr>
        <w:spacing w:after="0"/>
        <w:rPr>
          <w:rFonts w:cs="Arial"/>
          <w:highlight w:val="yellow"/>
        </w:rPr>
      </w:pPr>
    </w:p>
    <w:p w14:paraId="59E4FB50" w14:textId="77777777" w:rsidR="000F78F1" w:rsidRPr="000F78F1" w:rsidRDefault="000F78F1" w:rsidP="000F78F1">
      <w:pPr>
        <w:spacing w:after="0"/>
        <w:rPr>
          <w:rFonts w:cs="Arial"/>
          <w:highlight w:val="yellow"/>
        </w:rPr>
      </w:pPr>
    </w:p>
    <w:p w14:paraId="408A1590" w14:textId="77777777" w:rsidR="000F78F1" w:rsidRPr="000F78F1" w:rsidRDefault="000F78F1" w:rsidP="000F78F1">
      <w:pPr>
        <w:spacing w:after="0"/>
        <w:rPr>
          <w:rFonts w:cs="Arial"/>
          <w:highlight w:val="yellow"/>
        </w:rPr>
      </w:pPr>
    </w:p>
    <w:p w14:paraId="0C6A0590" w14:textId="77777777" w:rsidR="000F78F1" w:rsidRPr="000F78F1" w:rsidRDefault="000F78F1" w:rsidP="000F78F1">
      <w:pPr>
        <w:spacing w:after="0"/>
        <w:rPr>
          <w:rFonts w:cs="Arial"/>
          <w:highlight w:val="yellow"/>
        </w:rPr>
      </w:pPr>
    </w:p>
    <w:p w14:paraId="5A642D64" w14:textId="77777777" w:rsidR="000F78F1" w:rsidRPr="000F78F1" w:rsidRDefault="000F78F1" w:rsidP="000F78F1">
      <w:pPr>
        <w:spacing w:after="0"/>
        <w:rPr>
          <w:rFonts w:cs="Arial"/>
          <w:highlight w:val="yellow"/>
        </w:rPr>
      </w:pPr>
    </w:p>
    <w:p w14:paraId="502E4B7D" w14:textId="77777777" w:rsidR="000F78F1" w:rsidRPr="000F78F1" w:rsidRDefault="000F78F1" w:rsidP="000F78F1">
      <w:pPr>
        <w:spacing w:after="0"/>
        <w:rPr>
          <w:rFonts w:cs="Arial"/>
          <w:highlight w:val="yellow"/>
        </w:rPr>
      </w:pPr>
    </w:p>
    <w:p w14:paraId="1B12E569" w14:textId="77777777" w:rsidR="000F78F1" w:rsidRPr="000F78F1" w:rsidRDefault="000F78F1" w:rsidP="000F78F1">
      <w:pPr>
        <w:spacing w:after="0"/>
        <w:rPr>
          <w:rFonts w:cs="Arial"/>
          <w:highlight w:val="yellow"/>
        </w:rPr>
      </w:pPr>
    </w:p>
    <w:p w14:paraId="3EF7AF4E" w14:textId="77777777" w:rsidR="000F78F1" w:rsidRPr="000F78F1" w:rsidRDefault="000F78F1" w:rsidP="000F78F1">
      <w:pPr>
        <w:spacing w:after="0"/>
        <w:rPr>
          <w:rFonts w:cs="Arial"/>
          <w:highlight w:val="yellow"/>
        </w:rPr>
      </w:pPr>
    </w:p>
    <w:p w14:paraId="3F0D2C16" w14:textId="77777777" w:rsidR="000F78F1" w:rsidRPr="000F78F1" w:rsidRDefault="000F78F1" w:rsidP="000F78F1">
      <w:pPr>
        <w:spacing w:after="0"/>
        <w:rPr>
          <w:rFonts w:cs="Arial"/>
          <w:highlight w:val="yellow"/>
        </w:rPr>
      </w:pPr>
    </w:p>
    <w:p w14:paraId="77611F48" w14:textId="77777777" w:rsidR="000F78F1" w:rsidRPr="000F78F1" w:rsidRDefault="000F78F1" w:rsidP="000F78F1">
      <w:pPr>
        <w:spacing w:after="0"/>
        <w:rPr>
          <w:rFonts w:cs="Arial"/>
          <w:highlight w:val="yellow"/>
        </w:rPr>
      </w:pPr>
    </w:p>
    <w:p w14:paraId="63F9FE72" w14:textId="77777777" w:rsidR="000F78F1" w:rsidRPr="000F78F1" w:rsidRDefault="000F78F1" w:rsidP="000F78F1">
      <w:pPr>
        <w:spacing w:after="0"/>
        <w:rPr>
          <w:rFonts w:cs="Arial"/>
          <w:highlight w:val="yellow"/>
        </w:rPr>
      </w:pPr>
    </w:p>
    <w:p w14:paraId="08A34DD5" w14:textId="77777777" w:rsidR="000F78F1" w:rsidRPr="000F78F1" w:rsidRDefault="000F78F1" w:rsidP="000F78F1">
      <w:pPr>
        <w:spacing w:after="0"/>
        <w:rPr>
          <w:rFonts w:cs="Arial"/>
          <w:highlight w:val="yellow"/>
        </w:rPr>
      </w:pPr>
    </w:p>
    <w:p w14:paraId="7BEDA5DD" w14:textId="77777777" w:rsidR="000F78F1" w:rsidRPr="000F78F1" w:rsidRDefault="000F78F1" w:rsidP="000F78F1">
      <w:pPr>
        <w:spacing w:after="0"/>
        <w:rPr>
          <w:rFonts w:cs="Arial"/>
          <w:highlight w:val="yellow"/>
        </w:rPr>
      </w:pPr>
    </w:p>
    <w:p w14:paraId="6701060B" w14:textId="77777777" w:rsidR="000F78F1" w:rsidRPr="000F78F1" w:rsidRDefault="000F78F1" w:rsidP="000F78F1">
      <w:pPr>
        <w:spacing w:after="0"/>
        <w:rPr>
          <w:rFonts w:cs="Arial"/>
          <w:highlight w:val="yellow"/>
        </w:rPr>
      </w:pPr>
    </w:p>
    <w:p w14:paraId="2D51D074" w14:textId="77777777" w:rsidR="000F78F1" w:rsidRPr="000F78F1" w:rsidRDefault="000F78F1" w:rsidP="000F78F1">
      <w:pPr>
        <w:spacing w:after="0"/>
        <w:rPr>
          <w:rFonts w:cs="Arial"/>
          <w:highlight w:val="yellow"/>
        </w:rPr>
      </w:pPr>
    </w:p>
    <w:p w14:paraId="36B6C0AB" w14:textId="77777777" w:rsidR="000F78F1" w:rsidRPr="000F78F1" w:rsidRDefault="000F78F1" w:rsidP="000F78F1">
      <w:pPr>
        <w:spacing w:after="0"/>
        <w:rPr>
          <w:rFonts w:cs="Arial"/>
          <w:highlight w:val="yellow"/>
        </w:rPr>
      </w:pPr>
    </w:p>
    <w:p w14:paraId="28F900E3" w14:textId="493849E5" w:rsidR="000F78F1" w:rsidRDefault="000F78F1" w:rsidP="000F78F1">
      <w:pPr>
        <w:spacing w:after="0"/>
        <w:rPr>
          <w:rFonts w:cs="Arial"/>
          <w:highlight w:val="yellow"/>
        </w:rPr>
      </w:pPr>
    </w:p>
    <w:p w14:paraId="0F77C3AA" w14:textId="77777777" w:rsidR="000F78F1" w:rsidRPr="000F78F1" w:rsidRDefault="000F78F1" w:rsidP="000F78F1">
      <w:pPr>
        <w:spacing w:after="0"/>
        <w:rPr>
          <w:rFonts w:cs="Arial"/>
          <w:highlight w:val="yellow"/>
        </w:rPr>
      </w:pPr>
    </w:p>
    <w:p w14:paraId="73A3CAE5" w14:textId="77777777" w:rsidR="000F78F1" w:rsidRPr="000F78F1" w:rsidRDefault="000F78F1" w:rsidP="000F78F1">
      <w:pPr>
        <w:numPr>
          <w:ilvl w:val="0"/>
          <w:numId w:val="5"/>
        </w:numPr>
        <w:autoSpaceDE/>
        <w:autoSpaceDN/>
        <w:adjustRightInd/>
        <w:spacing w:after="0" w:line="259" w:lineRule="auto"/>
        <w:contextualSpacing/>
        <w:rPr>
          <w:rFonts w:cs="Arial"/>
          <w:b/>
          <w:u w:val="single"/>
        </w:rPr>
      </w:pPr>
      <w:bookmarkStart w:id="8" w:name="_Hlk118901372"/>
      <w:r w:rsidRPr="000F78F1">
        <w:rPr>
          <w:rFonts w:cs="Arial"/>
          <w:b/>
          <w:u w:val="single"/>
        </w:rPr>
        <w:lastRenderedPageBreak/>
        <w:t>Adult Services and Health and Wellbeing Directorate</w:t>
      </w:r>
    </w:p>
    <w:p w14:paraId="6DABA980" w14:textId="77777777" w:rsidR="000F78F1" w:rsidRPr="000F78F1" w:rsidRDefault="000F78F1" w:rsidP="000F78F1">
      <w:pPr>
        <w:autoSpaceDE/>
        <w:autoSpaceDN/>
        <w:adjustRightInd/>
        <w:spacing w:after="0" w:line="259" w:lineRule="auto"/>
        <w:contextualSpacing/>
        <w:rPr>
          <w:rFonts w:cs="Arial"/>
          <w:b/>
          <w:u w:val="single"/>
        </w:rPr>
      </w:pPr>
    </w:p>
    <w:tbl>
      <w:tblPr>
        <w:tblW w:w="9123" w:type="dxa"/>
        <w:tblInd w:w="113" w:type="dxa"/>
        <w:tblLayout w:type="fixed"/>
        <w:tblLook w:val="04A0" w:firstRow="1" w:lastRow="0" w:firstColumn="1" w:lastColumn="0" w:noHBand="0" w:noVBand="1"/>
      </w:tblPr>
      <w:tblGrid>
        <w:gridCol w:w="3246"/>
        <w:gridCol w:w="1175"/>
        <w:gridCol w:w="1175"/>
        <w:gridCol w:w="1176"/>
        <w:gridCol w:w="1175"/>
        <w:gridCol w:w="1176"/>
      </w:tblGrid>
      <w:tr w:rsidR="000F78F1" w:rsidRPr="000F78F1" w14:paraId="2775940E" w14:textId="77777777" w:rsidTr="00C11DAC">
        <w:trPr>
          <w:trHeight w:val="736"/>
        </w:trPr>
        <w:tc>
          <w:tcPr>
            <w:tcW w:w="3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928C82"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2A253E8E"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71DD93A4"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5C75F469"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175" w:type="dxa"/>
            <w:tcBorders>
              <w:top w:val="single" w:sz="4" w:space="0" w:color="auto"/>
              <w:left w:val="nil"/>
              <w:bottom w:val="single" w:sz="4" w:space="0" w:color="auto"/>
              <w:right w:val="single" w:sz="4" w:space="0" w:color="auto"/>
            </w:tcBorders>
            <w:shd w:val="clear" w:color="000000" w:fill="D9D9D9"/>
            <w:vAlign w:val="center"/>
            <w:hideMark/>
          </w:tcPr>
          <w:p w14:paraId="342E4779"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6E78B2F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6392CA73"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64BDA21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1175" w:type="dxa"/>
            <w:tcBorders>
              <w:top w:val="nil"/>
              <w:left w:val="nil"/>
              <w:bottom w:val="nil"/>
              <w:right w:val="single" w:sz="4" w:space="0" w:color="auto"/>
            </w:tcBorders>
            <w:shd w:val="clear" w:color="000000" w:fill="D9D9D9"/>
            <w:vAlign w:val="center"/>
            <w:hideMark/>
          </w:tcPr>
          <w:p w14:paraId="5A0057B9"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175" w:type="dxa"/>
            <w:tcBorders>
              <w:top w:val="nil"/>
              <w:left w:val="nil"/>
              <w:bottom w:val="nil"/>
              <w:right w:val="single" w:sz="4" w:space="0" w:color="auto"/>
            </w:tcBorders>
            <w:shd w:val="clear" w:color="000000" w:fill="D9D9D9"/>
            <w:vAlign w:val="center"/>
            <w:hideMark/>
          </w:tcPr>
          <w:p w14:paraId="5A32285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176" w:type="dxa"/>
            <w:tcBorders>
              <w:top w:val="nil"/>
              <w:left w:val="nil"/>
              <w:bottom w:val="nil"/>
              <w:right w:val="single" w:sz="4" w:space="0" w:color="auto"/>
            </w:tcBorders>
            <w:shd w:val="clear" w:color="000000" w:fill="D9D9D9"/>
            <w:vAlign w:val="center"/>
            <w:hideMark/>
          </w:tcPr>
          <w:p w14:paraId="5142DDDC"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175" w:type="dxa"/>
            <w:tcBorders>
              <w:top w:val="nil"/>
              <w:left w:val="nil"/>
              <w:bottom w:val="nil"/>
              <w:right w:val="single" w:sz="4" w:space="0" w:color="auto"/>
            </w:tcBorders>
            <w:shd w:val="clear" w:color="000000" w:fill="D9D9D9"/>
            <w:vAlign w:val="center"/>
            <w:hideMark/>
          </w:tcPr>
          <w:p w14:paraId="0D46209C"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176" w:type="dxa"/>
            <w:tcBorders>
              <w:top w:val="nil"/>
              <w:left w:val="nil"/>
              <w:bottom w:val="nil"/>
              <w:right w:val="single" w:sz="4" w:space="0" w:color="auto"/>
            </w:tcBorders>
            <w:shd w:val="clear" w:color="000000" w:fill="D9D9D9"/>
            <w:vAlign w:val="center"/>
            <w:hideMark/>
          </w:tcPr>
          <w:p w14:paraId="565DB26C"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59D67AF9"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116D893A"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Disability Adults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2363BA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2.946</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59C523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5.414</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390BA15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2.468</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0E393C6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83.77%</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44CF254B"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2.456</w:t>
            </w:r>
          </w:p>
        </w:tc>
      </w:tr>
      <w:tr w:rsidR="000F78F1" w:rsidRPr="000F78F1" w14:paraId="2DD0EBAB"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14387C4D"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Residential Day Care Services for Older People</w:t>
            </w:r>
          </w:p>
        </w:tc>
        <w:tc>
          <w:tcPr>
            <w:tcW w:w="1175" w:type="dxa"/>
            <w:tcBorders>
              <w:top w:val="nil"/>
              <w:left w:val="nil"/>
              <w:bottom w:val="single" w:sz="4" w:space="0" w:color="auto"/>
              <w:right w:val="single" w:sz="4" w:space="0" w:color="auto"/>
            </w:tcBorders>
            <w:shd w:val="clear" w:color="auto" w:fill="auto"/>
            <w:vAlign w:val="center"/>
            <w:hideMark/>
          </w:tcPr>
          <w:p w14:paraId="5605414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1.439</w:t>
            </w:r>
          </w:p>
        </w:tc>
        <w:tc>
          <w:tcPr>
            <w:tcW w:w="1175" w:type="dxa"/>
            <w:tcBorders>
              <w:top w:val="nil"/>
              <w:left w:val="nil"/>
              <w:bottom w:val="single" w:sz="4" w:space="0" w:color="auto"/>
              <w:right w:val="single" w:sz="4" w:space="0" w:color="auto"/>
            </w:tcBorders>
            <w:shd w:val="clear" w:color="auto" w:fill="auto"/>
            <w:vAlign w:val="center"/>
            <w:hideMark/>
          </w:tcPr>
          <w:p w14:paraId="22A6408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5.172</w:t>
            </w:r>
          </w:p>
        </w:tc>
        <w:tc>
          <w:tcPr>
            <w:tcW w:w="1176" w:type="dxa"/>
            <w:tcBorders>
              <w:top w:val="nil"/>
              <w:left w:val="nil"/>
              <w:bottom w:val="single" w:sz="4" w:space="0" w:color="auto"/>
              <w:right w:val="single" w:sz="4" w:space="0" w:color="auto"/>
            </w:tcBorders>
            <w:shd w:val="clear" w:color="000000" w:fill="D9D9D9"/>
            <w:vAlign w:val="center"/>
            <w:hideMark/>
          </w:tcPr>
          <w:p w14:paraId="5F07091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3.733</w:t>
            </w:r>
          </w:p>
        </w:tc>
        <w:tc>
          <w:tcPr>
            <w:tcW w:w="1175" w:type="dxa"/>
            <w:tcBorders>
              <w:top w:val="nil"/>
              <w:left w:val="nil"/>
              <w:bottom w:val="single" w:sz="4" w:space="0" w:color="auto"/>
              <w:right w:val="single" w:sz="4" w:space="0" w:color="auto"/>
            </w:tcBorders>
            <w:shd w:val="clear" w:color="auto" w:fill="auto"/>
            <w:vAlign w:val="center"/>
            <w:hideMark/>
          </w:tcPr>
          <w:p w14:paraId="2BF45CB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259.42%</w:t>
            </w:r>
          </w:p>
        </w:tc>
        <w:tc>
          <w:tcPr>
            <w:tcW w:w="1176" w:type="dxa"/>
            <w:tcBorders>
              <w:top w:val="nil"/>
              <w:left w:val="nil"/>
              <w:bottom w:val="single" w:sz="4" w:space="0" w:color="auto"/>
              <w:right w:val="single" w:sz="4" w:space="0" w:color="auto"/>
            </w:tcBorders>
            <w:shd w:val="clear" w:color="000000" w:fill="D9D9D9"/>
            <w:vAlign w:val="center"/>
            <w:hideMark/>
          </w:tcPr>
          <w:p w14:paraId="5896D75D"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3.613</w:t>
            </w:r>
          </w:p>
        </w:tc>
      </w:tr>
      <w:tr w:rsidR="000F78F1" w:rsidRPr="000F78F1" w14:paraId="1261CD4E" w14:textId="77777777" w:rsidTr="00C11DAC">
        <w:trPr>
          <w:trHeight w:val="303"/>
        </w:trPr>
        <w:tc>
          <w:tcPr>
            <w:tcW w:w="3246" w:type="dxa"/>
            <w:tcBorders>
              <w:top w:val="nil"/>
              <w:left w:val="single" w:sz="8" w:space="0" w:color="auto"/>
              <w:bottom w:val="single" w:sz="8" w:space="0" w:color="auto"/>
              <w:right w:val="single" w:sz="4" w:space="0" w:color="auto"/>
            </w:tcBorders>
            <w:shd w:val="clear" w:color="000000" w:fill="D9D9D9"/>
            <w:vAlign w:val="center"/>
            <w:hideMark/>
          </w:tcPr>
          <w:p w14:paraId="42EDD3A4"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Adult Care and Provider Services</w:t>
            </w:r>
          </w:p>
        </w:tc>
        <w:tc>
          <w:tcPr>
            <w:tcW w:w="1175" w:type="dxa"/>
            <w:tcBorders>
              <w:top w:val="nil"/>
              <w:left w:val="nil"/>
              <w:bottom w:val="single" w:sz="8" w:space="0" w:color="auto"/>
              <w:right w:val="single" w:sz="4" w:space="0" w:color="auto"/>
            </w:tcBorders>
            <w:shd w:val="clear" w:color="000000" w:fill="D9D9D9"/>
            <w:vAlign w:val="center"/>
            <w:hideMark/>
          </w:tcPr>
          <w:p w14:paraId="38DD103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4.385</w:t>
            </w:r>
          </w:p>
        </w:tc>
        <w:tc>
          <w:tcPr>
            <w:tcW w:w="1175" w:type="dxa"/>
            <w:tcBorders>
              <w:top w:val="nil"/>
              <w:left w:val="nil"/>
              <w:bottom w:val="single" w:sz="8" w:space="0" w:color="auto"/>
              <w:right w:val="single" w:sz="4" w:space="0" w:color="auto"/>
            </w:tcBorders>
            <w:shd w:val="clear" w:color="000000" w:fill="D9D9D9"/>
            <w:vAlign w:val="center"/>
            <w:hideMark/>
          </w:tcPr>
          <w:p w14:paraId="13C425CA"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10.586</w:t>
            </w:r>
          </w:p>
        </w:tc>
        <w:tc>
          <w:tcPr>
            <w:tcW w:w="1176" w:type="dxa"/>
            <w:tcBorders>
              <w:top w:val="nil"/>
              <w:left w:val="nil"/>
              <w:bottom w:val="single" w:sz="8" w:space="0" w:color="auto"/>
              <w:right w:val="single" w:sz="4" w:space="0" w:color="auto"/>
            </w:tcBorders>
            <w:shd w:val="clear" w:color="000000" w:fill="D9D9D9"/>
            <w:vAlign w:val="center"/>
            <w:hideMark/>
          </w:tcPr>
          <w:p w14:paraId="66EA6A0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6.201</w:t>
            </w:r>
          </w:p>
        </w:tc>
        <w:tc>
          <w:tcPr>
            <w:tcW w:w="1175" w:type="dxa"/>
            <w:tcBorders>
              <w:top w:val="nil"/>
              <w:left w:val="nil"/>
              <w:bottom w:val="single" w:sz="8" w:space="0" w:color="auto"/>
              <w:right w:val="single" w:sz="4" w:space="0" w:color="auto"/>
            </w:tcBorders>
            <w:shd w:val="clear" w:color="000000" w:fill="D9D9D9"/>
            <w:vAlign w:val="center"/>
            <w:hideMark/>
          </w:tcPr>
          <w:p w14:paraId="49F1AE56"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141.41%</w:t>
            </w:r>
          </w:p>
        </w:tc>
        <w:tc>
          <w:tcPr>
            <w:tcW w:w="1176" w:type="dxa"/>
            <w:tcBorders>
              <w:top w:val="nil"/>
              <w:left w:val="nil"/>
              <w:bottom w:val="single" w:sz="8" w:space="0" w:color="auto"/>
              <w:right w:val="single" w:sz="4" w:space="0" w:color="auto"/>
            </w:tcBorders>
            <w:shd w:val="clear" w:color="000000" w:fill="D9D9D9"/>
            <w:vAlign w:val="center"/>
            <w:hideMark/>
          </w:tcPr>
          <w:p w14:paraId="57B9EA63"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6.069</w:t>
            </w:r>
          </w:p>
        </w:tc>
      </w:tr>
      <w:tr w:rsidR="000F78F1" w:rsidRPr="000F78F1" w14:paraId="5ED80FDD" w14:textId="77777777" w:rsidTr="00C11DAC">
        <w:trPr>
          <w:trHeight w:val="288"/>
        </w:trPr>
        <w:tc>
          <w:tcPr>
            <w:tcW w:w="3246" w:type="dxa"/>
            <w:tcBorders>
              <w:top w:val="nil"/>
              <w:left w:val="single" w:sz="8" w:space="0" w:color="auto"/>
              <w:bottom w:val="single" w:sz="4" w:space="0" w:color="auto"/>
              <w:right w:val="single" w:sz="4" w:space="0" w:color="auto"/>
            </w:tcBorders>
            <w:shd w:val="clear" w:color="auto" w:fill="auto"/>
            <w:vAlign w:val="center"/>
          </w:tcPr>
          <w:p w14:paraId="4D0DEE0B" w14:textId="77777777" w:rsidR="000F78F1" w:rsidRPr="000F78F1" w:rsidRDefault="000F78F1" w:rsidP="000F78F1">
            <w:pPr>
              <w:autoSpaceDE/>
              <w:autoSpaceDN/>
              <w:adjustRightInd/>
              <w:spacing w:after="0"/>
              <w:jc w:val="left"/>
              <w:rPr>
                <w:rFonts w:eastAsia="Times New Roman" w:cs="Arial"/>
                <w:sz w:val="20"/>
                <w:szCs w:val="20"/>
                <w:lang w:eastAsia="en-GB"/>
              </w:rPr>
            </w:pPr>
          </w:p>
        </w:tc>
        <w:tc>
          <w:tcPr>
            <w:tcW w:w="1175" w:type="dxa"/>
            <w:tcBorders>
              <w:top w:val="nil"/>
              <w:left w:val="nil"/>
              <w:bottom w:val="single" w:sz="4" w:space="0" w:color="auto"/>
              <w:right w:val="single" w:sz="4" w:space="0" w:color="auto"/>
            </w:tcBorders>
            <w:shd w:val="clear" w:color="auto" w:fill="auto"/>
            <w:vAlign w:val="center"/>
          </w:tcPr>
          <w:p w14:paraId="2A720B7E"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5" w:type="dxa"/>
            <w:tcBorders>
              <w:top w:val="nil"/>
              <w:left w:val="nil"/>
              <w:bottom w:val="single" w:sz="4" w:space="0" w:color="auto"/>
              <w:right w:val="single" w:sz="4" w:space="0" w:color="auto"/>
            </w:tcBorders>
            <w:shd w:val="clear" w:color="auto" w:fill="auto"/>
            <w:vAlign w:val="center"/>
          </w:tcPr>
          <w:p w14:paraId="742F9F09"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6" w:type="dxa"/>
            <w:tcBorders>
              <w:top w:val="nil"/>
              <w:left w:val="nil"/>
              <w:bottom w:val="single" w:sz="4" w:space="0" w:color="auto"/>
              <w:right w:val="single" w:sz="4" w:space="0" w:color="auto"/>
            </w:tcBorders>
            <w:shd w:val="clear" w:color="auto" w:fill="auto"/>
            <w:vAlign w:val="center"/>
          </w:tcPr>
          <w:p w14:paraId="61F51A4C"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5" w:type="dxa"/>
            <w:tcBorders>
              <w:top w:val="nil"/>
              <w:left w:val="nil"/>
              <w:bottom w:val="single" w:sz="4" w:space="0" w:color="auto"/>
              <w:right w:val="single" w:sz="4" w:space="0" w:color="auto"/>
            </w:tcBorders>
            <w:shd w:val="clear" w:color="auto" w:fill="auto"/>
            <w:vAlign w:val="center"/>
          </w:tcPr>
          <w:p w14:paraId="12FEC388"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6" w:type="dxa"/>
            <w:tcBorders>
              <w:top w:val="nil"/>
              <w:left w:val="nil"/>
              <w:bottom w:val="single" w:sz="4" w:space="0" w:color="auto"/>
              <w:right w:val="single" w:sz="4" w:space="0" w:color="auto"/>
            </w:tcBorders>
            <w:shd w:val="clear" w:color="auto" w:fill="auto"/>
            <w:vAlign w:val="center"/>
          </w:tcPr>
          <w:p w14:paraId="529FFDCA"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p>
        </w:tc>
      </w:tr>
      <w:tr w:rsidR="000F78F1" w:rsidRPr="000F78F1" w14:paraId="7889F7A4"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21E57731"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Social Care Services Adults</w:t>
            </w:r>
          </w:p>
        </w:tc>
        <w:tc>
          <w:tcPr>
            <w:tcW w:w="1175" w:type="dxa"/>
            <w:tcBorders>
              <w:top w:val="nil"/>
              <w:left w:val="nil"/>
              <w:bottom w:val="single" w:sz="4" w:space="0" w:color="auto"/>
              <w:right w:val="single" w:sz="4" w:space="0" w:color="auto"/>
            </w:tcBorders>
            <w:shd w:val="clear" w:color="auto" w:fill="auto"/>
            <w:vAlign w:val="center"/>
            <w:hideMark/>
          </w:tcPr>
          <w:p w14:paraId="7B1A477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218.546</w:t>
            </w:r>
          </w:p>
        </w:tc>
        <w:tc>
          <w:tcPr>
            <w:tcW w:w="1175" w:type="dxa"/>
            <w:tcBorders>
              <w:top w:val="nil"/>
              <w:left w:val="nil"/>
              <w:bottom w:val="single" w:sz="4" w:space="0" w:color="auto"/>
              <w:right w:val="single" w:sz="4" w:space="0" w:color="auto"/>
            </w:tcBorders>
            <w:shd w:val="clear" w:color="auto" w:fill="auto"/>
            <w:vAlign w:val="center"/>
            <w:hideMark/>
          </w:tcPr>
          <w:p w14:paraId="3A34E16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215.280</w:t>
            </w:r>
          </w:p>
        </w:tc>
        <w:tc>
          <w:tcPr>
            <w:tcW w:w="1176" w:type="dxa"/>
            <w:tcBorders>
              <w:top w:val="nil"/>
              <w:left w:val="nil"/>
              <w:bottom w:val="single" w:sz="4" w:space="0" w:color="auto"/>
              <w:right w:val="single" w:sz="4" w:space="0" w:color="auto"/>
            </w:tcBorders>
            <w:shd w:val="clear" w:color="000000" w:fill="D9D9D9"/>
            <w:vAlign w:val="center"/>
            <w:hideMark/>
          </w:tcPr>
          <w:p w14:paraId="19B7C40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-3.266</w:t>
            </w:r>
          </w:p>
        </w:tc>
        <w:tc>
          <w:tcPr>
            <w:tcW w:w="1175" w:type="dxa"/>
            <w:tcBorders>
              <w:top w:val="nil"/>
              <w:left w:val="nil"/>
              <w:bottom w:val="single" w:sz="4" w:space="0" w:color="auto"/>
              <w:right w:val="single" w:sz="4" w:space="0" w:color="auto"/>
            </w:tcBorders>
            <w:shd w:val="clear" w:color="auto" w:fill="auto"/>
            <w:vAlign w:val="center"/>
            <w:hideMark/>
          </w:tcPr>
          <w:p w14:paraId="39E7D5F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-1.49%</w:t>
            </w:r>
          </w:p>
        </w:tc>
        <w:tc>
          <w:tcPr>
            <w:tcW w:w="1176" w:type="dxa"/>
            <w:tcBorders>
              <w:top w:val="nil"/>
              <w:left w:val="nil"/>
              <w:bottom w:val="single" w:sz="4" w:space="0" w:color="auto"/>
              <w:right w:val="single" w:sz="4" w:space="0" w:color="auto"/>
            </w:tcBorders>
            <w:shd w:val="clear" w:color="000000" w:fill="D9D9D9"/>
            <w:vAlign w:val="center"/>
            <w:hideMark/>
          </w:tcPr>
          <w:p w14:paraId="0E08895A"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-1.226</w:t>
            </w:r>
          </w:p>
        </w:tc>
      </w:tr>
      <w:tr w:rsidR="000F78F1" w:rsidRPr="000F78F1" w14:paraId="67556B75"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5FEE4663"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Learning Disabilities, Autism and Mental Health</w:t>
            </w:r>
          </w:p>
        </w:tc>
        <w:tc>
          <w:tcPr>
            <w:tcW w:w="1175" w:type="dxa"/>
            <w:tcBorders>
              <w:top w:val="nil"/>
              <w:left w:val="nil"/>
              <w:bottom w:val="single" w:sz="4" w:space="0" w:color="auto"/>
              <w:right w:val="single" w:sz="4" w:space="0" w:color="auto"/>
            </w:tcBorders>
            <w:shd w:val="clear" w:color="auto" w:fill="auto"/>
            <w:vAlign w:val="center"/>
            <w:hideMark/>
          </w:tcPr>
          <w:p w14:paraId="530F2EE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193.103</w:t>
            </w:r>
          </w:p>
        </w:tc>
        <w:tc>
          <w:tcPr>
            <w:tcW w:w="1175" w:type="dxa"/>
            <w:tcBorders>
              <w:top w:val="nil"/>
              <w:left w:val="nil"/>
              <w:bottom w:val="single" w:sz="4" w:space="0" w:color="auto"/>
              <w:right w:val="single" w:sz="4" w:space="0" w:color="auto"/>
            </w:tcBorders>
            <w:shd w:val="clear" w:color="auto" w:fill="auto"/>
            <w:vAlign w:val="center"/>
            <w:hideMark/>
          </w:tcPr>
          <w:p w14:paraId="08869C0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187.113</w:t>
            </w:r>
          </w:p>
        </w:tc>
        <w:tc>
          <w:tcPr>
            <w:tcW w:w="1176" w:type="dxa"/>
            <w:tcBorders>
              <w:top w:val="nil"/>
              <w:left w:val="nil"/>
              <w:bottom w:val="single" w:sz="4" w:space="0" w:color="auto"/>
              <w:right w:val="single" w:sz="4" w:space="0" w:color="auto"/>
            </w:tcBorders>
            <w:shd w:val="clear" w:color="000000" w:fill="D9D9D9"/>
            <w:vAlign w:val="center"/>
            <w:hideMark/>
          </w:tcPr>
          <w:p w14:paraId="2F1C58B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-5.990</w:t>
            </w:r>
          </w:p>
        </w:tc>
        <w:tc>
          <w:tcPr>
            <w:tcW w:w="1175" w:type="dxa"/>
            <w:tcBorders>
              <w:top w:val="nil"/>
              <w:left w:val="nil"/>
              <w:bottom w:val="single" w:sz="4" w:space="0" w:color="auto"/>
              <w:right w:val="single" w:sz="4" w:space="0" w:color="auto"/>
            </w:tcBorders>
            <w:shd w:val="clear" w:color="auto" w:fill="auto"/>
            <w:vAlign w:val="center"/>
            <w:hideMark/>
          </w:tcPr>
          <w:p w14:paraId="6D832ED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-3.10%</w:t>
            </w:r>
          </w:p>
        </w:tc>
        <w:tc>
          <w:tcPr>
            <w:tcW w:w="1176" w:type="dxa"/>
            <w:tcBorders>
              <w:top w:val="nil"/>
              <w:left w:val="nil"/>
              <w:bottom w:val="single" w:sz="4" w:space="0" w:color="auto"/>
              <w:right w:val="single" w:sz="4" w:space="0" w:color="auto"/>
            </w:tcBorders>
            <w:shd w:val="clear" w:color="000000" w:fill="D9D9D9"/>
            <w:vAlign w:val="center"/>
            <w:hideMark/>
          </w:tcPr>
          <w:p w14:paraId="5CA9560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-1.600</w:t>
            </w:r>
          </w:p>
        </w:tc>
      </w:tr>
      <w:tr w:rsidR="000F78F1" w:rsidRPr="000F78F1" w14:paraId="6DBE6E47" w14:textId="77777777" w:rsidTr="00C11DAC">
        <w:trPr>
          <w:trHeight w:val="303"/>
        </w:trPr>
        <w:tc>
          <w:tcPr>
            <w:tcW w:w="3246" w:type="dxa"/>
            <w:tcBorders>
              <w:top w:val="nil"/>
              <w:left w:val="single" w:sz="8" w:space="0" w:color="auto"/>
              <w:bottom w:val="single" w:sz="8" w:space="0" w:color="auto"/>
              <w:right w:val="single" w:sz="4" w:space="0" w:color="auto"/>
            </w:tcBorders>
            <w:shd w:val="clear" w:color="000000" w:fill="D9D9D9"/>
            <w:vAlign w:val="center"/>
            <w:hideMark/>
          </w:tcPr>
          <w:p w14:paraId="53085473"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Adult Community Social Care</w:t>
            </w:r>
          </w:p>
        </w:tc>
        <w:tc>
          <w:tcPr>
            <w:tcW w:w="1175" w:type="dxa"/>
            <w:tcBorders>
              <w:top w:val="nil"/>
              <w:left w:val="nil"/>
              <w:bottom w:val="single" w:sz="8" w:space="0" w:color="auto"/>
              <w:right w:val="single" w:sz="4" w:space="0" w:color="auto"/>
            </w:tcBorders>
            <w:shd w:val="clear" w:color="000000" w:fill="D9D9D9"/>
            <w:vAlign w:val="center"/>
            <w:hideMark/>
          </w:tcPr>
          <w:p w14:paraId="019C9DA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411.649</w:t>
            </w:r>
          </w:p>
        </w:tc>
        <w:tc>
          <w:tcPr>
            <w:tcW w:w="1175" w:type="dxa"/>
            <w:tcBorders>
              <w:top w:val="nil"/>
              <w:left w:val="nil"/>
              <w:bottom w:val="single" w:sz="8" w:space="0" w:color="auto"/>
              <w:right w:val="single" w:sz="4" w:space="0" w:color="auto"/>
            </w:tcBorders>
            <w:shd w:val="clear" w:color="000000" w:fill="D9D9D9"/>
            <w:vAlign w:val="center"/>
            <w:hideMark/>
          </w:tcPr>
          <w:p w14:paraId="70594D16"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402.393</w:t>
            </w:r>
          </w:p>
        </w:tc>
        <w:tc>
          <w:tcPr>
            <w:tcW w:w="1176" w:type="dxa"/>
            <w:tcBorders>
              <w:top w:val="nil"/>
              <w:left w:val="nil"/>
              <w:bottom w:val="single" w:sz="8" w:space="0" w:color="auto"/>
              <w:right w:val="single" w:sz="4" w:space="0" w:color="auto"/>
            </w:tcBorders>
            <w:shd w:val="clear" w:color="000000" w:fill="D9D9D9"/>
            <w:vAlign w:val="center"/>
            <w:hideMark/>
          </w:tcPr>
          <w:p w14:paraId="2CEF260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-9.256</w:t>
            </w:r>
          </w:p>
        </w:tc>
        <w:tc>
          <w:tcPr>
            <w:tcW w:w="1175" w:type="dxa"/>
            <w:tcBorders>
              <w:top w:val="nil"/>
              <w:left w:val="nil"/>
              <w:bottom w:val="single" w:sz="8" w:space="0" w:color="auto"/>
              <w:right w:val="single" w:sz="4" w:space="0" w:color="auto"/>
            </w:tcBorders>
            <w:shd w:val="clear" w:color="000000" w:fill="D9D9D9"/>
            <w:vAlign w:val="center"/>
            <w:hideMark/>
          </w:tcPr>
          <w:p w14:paraId="6D92A23F"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-2.25%</w:t>
            </w:r>
          </w:p>
        </w:tc>
        <w:tc>
          <w:tcPr>
            <w:tcW w:w="1176" w:type="dxa"/>
            <w:tcBorders>
              <w:top w:val="nil"/>
              <w:left w:val="nil"/>
              <w:bottom w:val="single" w:sz="8" w:space="0" w:color="auto"/>
              <w:right w:val="single" w:sz="4" w:space="0" w:color="auto"/>
            </w:tcBorders>
            <w:shd w:val="clear" w:color="000000" w:fill="D9D9D9"/>
            <w:vAlign w:val="center"/>
            <w:hideMark/>
          </w:tcPr>
          <w:p w14:paraId="2D67449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-2.826</w:t>
            </w:r>
          </w:p>
        </w:tc>
      </w:tr>
      <w:tr w:rsidR="000F78F1" w:rsidRPr="000F78F1" w14:paraId="5095D34A" w14:textId="77777777" w:rsidTr="00C11DAC">
        <w:trPr>
          <w:trHeight w:val="303"/>
        </w:trPr>
        <w:tc>
          <w:tcPr>
            <w:tcW w:w="3246" w:type="dxa"/>
            <w:tcBorders>
              <w:top w:val="nil"/>
              <w:left w:val="single" w:sz="8" w:space="0" w:color="auto"/>
              <w:bottom w:val="single" w:sz="8" w:space="0" w:color="auto"/>
              <w:right w:val="single" w:sz="4" w:space="0" w:color="auto"/>
            </w:tcBorders>
            <w:shd w:val="clear" w:color="auto" w:fill="auto"/>
            <w:vAlign w:val="center"/>
          </w:tcPr>
          <w:p w14:paraId="3D998072"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44E1698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169B6C1E"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6" w:type="dxa"/>
            <w:tcBorders>
              <w:top w:val="nil"/>
              <w:left w:val="nil"/>
              <w:bottom w:val="single" w:sz="8" w:space="0" w:color="auto"/>
              <w:right w:val="single" w:sz="4" w:space="0" w:color="auto"/>
            </w:tcBorders>
            <w:shd w:val="clear" w:color="auto" w:fill="auto"/>
            <w:vAlign w:val="center"/>
          </w:tcPr>
          <w:p w14:paraId="638F743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116A6076"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6" w:type="dxa"/>
            <w:tcBorders>
              <w:top w:val="nil"/>
              <w:left w:val="nil"/>
              <w:bottom w:val="single" w:sz="8" w:space="0" w:color="auto"/>
              <w:right w:val="single" w:sz="4" w:space="0" w:color="auto"/>
            </w:tcBorders>
            <w:shd w:val="clear" w:color="auto" w:fill="auto"/>
            <w:vAlign w:val="center"/>
          </w:tcPr>
          <w:p w14:paraId="390359B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72E1CEB0" w14:textId="77777777" w:rsidTr="00C11DAC">
        <w:trPr>
          <w:trHeight w:val="288"/>
        </w:trPr>
        <w:tc>
          <w:tcPr>
            <w:tcW w:w="3246"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ED7A9DB"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Safeguarding, Quality and Improvement Services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529C069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7.044</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6B55BA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7.048</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368A8B4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0.004</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C0E330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0.06%</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47C886A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0.225</w:t>
            </w:r>
          </w:p>
        </w:tc>
      </w:tr>
      <w:tr w:rsidR="000F78F1" w:rsidRPr="000F78F1" w14:paraId="378B46BE" w14:textId="77777777" w:rsidTr="00C11DAC">
        <w:trPr>
          <w:trHeight w:val="303"/>
        </w:trPr>
        <w:tc>
          <w:tcPr>
            <w:tcW w:w="3246" w:type="dxa"/>
            <w:tcBorders>
              <w:top w:val="nil"/>
              <w:left w:val="single" w:sz="8" w:space="0" w:color="auto"/>
              <w:bottom w:val="single" w:sz="8" w:space="0" w:color="auto"/>
              <w:right w:val="single" w:sz="4" w:space="0" w:color="auto"/>
            </w:tcBorders>
            <w:shd w:val="clear" w:color="000000" w:fill="D9D9D9"/>
            <w:vAlign w:val="center"/>
            <w:hideMark/>
          </w:tcPr>
          <w:p w14:paraId="5BC32DF9"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Safeguarding and Quality Improvement</w:t>
            </w:r>
          </w:p>
        </w:tc>
        <w:tc>
          <w:tcPr>
            <w:tcW w:w="1175" w:type="dxa"/>
            <w:tcBorders>
              <w:top w:val="nil"/>
              <w:left w:val="nil"/>
              <w:bottom w:val="single" w:sz="8" w:space="0" w:color="auto"/>
              <w:right w:val="single" w:sz="4" w:space="0" w:color="auto"/>
            </w:tcBorders>
            <w:shd w:val="clear" w:color="000000" w:fill="D9D9D9"/>
            <w:vAlign w:val="center"/>
            <w:hideMark/>
          </w:tcPr>
          <w:p w14:paraId="69C782F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7.044</w:t>
            </w:r>
          </w:p>
        </w:tc>
        <w:tc>
          <w:tcPr>
            <w:tcW w:w="1175" w:type="dxa"/>
            <w:tcBorders>
              <w:top w:val="nil"/>
              <w:left w:val="nil"/>
              <w:bottom w:val="single" w:sz="8" w:space="0" w:color="auto"/>
              <w:right w:val="single" w:sz="4" w:space="0" w:color="auto"/>
            </w:tcBorders>
            <w:shd w:val="clear" w:color="000000" w:fill="D9D9D9"/>
            <w:vAlign w:val="center"/>
            <w:hideMark/>
          </w:tcPr>
          <w:p w14:paraId="25F94CC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7.048</w:t>
            </w:r>
          </w:p>
        </w:tc>
        <w:tc>
          <w:tcPr>
            <w:tcW w:w="1176" w:type="dxa"/>
            <w:tcBorders>
              <w:top w:val="nil"/>
              <w:left w:val="nil"/>
              <w:bottom w:val="single" w:sz="8" w:space="0" w:color="auto"/>
              <w:right w:val="single" w:sz="4" w:space="0" w:color="auto"/>
            </w:tcBorders>
            <w:shd w:val="clear" w:color="000000" w:fill="D9D9D9"/>
            <w:vAlign w:val="center"/>
            <w:hideMark/>
          </w:tcPr>
          <w:p w14:paraId="680417F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0.004</w:t>
            </w:r>
          </w:p>
        </w:tc>
        <w:tc>
          <w:tcPr>
            <w:tcW w:w="1175" w:type="dxa"/>
            <w:tcBorders>
              <w:top w:val="nil"/>
              <w:left w:val="nil"/>
              <w:bottom w:val="single" w:sz="8" w:space="0" w:color="auto"/>
              <w:right w:val="single" w:sz="4" w:space="0" w:color="auto"/>
            </w:tcBorders>
            <w:shd w:val="clear" w:color="000000" w:fill="D9D9D9"/>
            <w:vAlign w:val="center"/>
            <w:hideMark/>
          </w:tcPr>
          <w:p w14:paraId="0018EB4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0.06%</w:t>
            </w:r>
          </w:p>
        </w:tc>
        <w:tc>
          <w:tcPr>
            <w:tcW w:w="1176" w:type="dxa"/>
            <w:tcBorders>
              <w:top w:val="nil"/>
              <w:left w:val="nil"/>
              <w:bottom w:val="single" w:sz="8" w:space="0" w:color="auto"/>
              <w:right w:val="single" w:sz="4" w:space="0" w:color="auto"/>
            </w:tcBorders>
            <w:shd w:val="clear" w:color="000000" w:fill="D9D9D9"/>
            <w:vAlign w:val="center"/>
            <w:hideMark/>
          </w:tcPr>
          <w:p w14:paraId="5706B645"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0.225</w:t>
            </w:r>
          </w:p>
        </w:tc>
      </w:tr>
      <w:tr w:rsidR="000F78F1" w:rsidRPr="000F78F1" w14:paraId="1A0CE8AC" w14:textId="77777777" w:rsidTr="00C11DAC">
        <w:trPr>
          <w:trHeight w:val="288"/>
        </w:trPr>
        <w:tc>
          <w:tcPr>
            <w:tcW w:w="3246" w:type="dxa"/>
            <w:tcBorders>
              <w:top w:val="single" w:sz="4" w:space="0" w:color="auto"/>
              <w:left w:val="single" w:sz="8" w:space="0" w:color="auto"/>
              <w:bottom w:val="single" w:sz="4" w:space="0" w:color="auto"/>
              <w:right w:val="single" w:sz="4" w:space="0" w:color="auto"/>
            </w:tcBorders>
            <w:shd w:val="clear" w:color="auto" w:fill="auto"/>
            <w:vAlign w:val="center"/>
          </w:tcPr>
          <w:p w14:paraId="7525A7AF" w14:textId="77777777" w:rsidR="000F78F1" w:rsidRPr="000F78F1" w:rsidRDefault="000F78F1" w:rsidP="000F78F1">
            <w:pPr>
              <w:autoSpaceDE/>
              <w:autoSpaceDN/>
              <w:adjustRightInd/>
              <w:spacing w:after="0"/>
              <w:jc w:val="left"/>
              <w:rPr>
                <w:rFonts w:eastAsia="Times New Roman" w:cs="Arial"/>
                <w:sz w:val="20"/>
                <w:szCs w:val="20"/>
                <w:lang w:eastAsia="en-GB"/>
              </w:rPr>
            </w:pPr>
          </w:p>
        </w:tc>
        <w:tc>
          <w:tcPr>
            <w:tcW w:w="1175" w:type="dxa"/>
            <w:tcBorders>
              <w:top w:val="single" w:sz="4" w:space="0" w:color="auto"/>
              <w:left w:val="nil"/>
              <w:bottom w:val="single" w:sz="4" w:space="0" w:color="auto"/>
              <w:right w:val="single" w:sz="4" w:space="0" w:color="auto"/>
            </w:tcBorders>
            <w:shd w:val="clear" w:color="auto" w:fill="auto"/>
            <w:vAlign w:val="center"/>
          </w:tcPr>
          <w:p w14:paraId="409EDB69"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5" w:type="dxa"/>
            <w:tcBorders>
              <w:top w:val="single" w:sz="4" w:space="0" w:color="auto"/>
              <w:left w:val="nil"/>
              <w:bottom w:val="single" w:sz="4" w:space="0" w:color="auto"/>
              <w:right w:val="single" w:sz="4" w:space="0" w:color="auto"/>
            </w:tcBorders>
            <w:shd w:val="clear" w:color="auto" w:fill="auto"/>
            <w:vAlign w:val="center"/>
          </w:tcPr>
          <w:p w14:paraId="29542848"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C9A2388"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5" w:type="dxa"/>
            <w:tcBorders>
              <w:top w:val="single" w:sz="4" w:space="0" w:color="auto"/>
              <w:left w:val="nil"/>
              <w:bottom w:val="single" w:sz="4" w:space="0" w:color="auto"/>
              <w:right w:val="single" w:sz="4" w:space="0" w:color="auto"/>
            </w:tcBorders>
            <w:shd w:val="clear" w:color="auto" w:fill="auto"/>
            <w:vAlign w:val="center"/>
          </w:tcPr>
          <w:p w14:paraId="6051D5EC"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3E889D7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p>
        </w:tc>
      </w:tr>
      <w:tr w:rsidR="000F78F1" w:rsidRPr="000F78F1" w14:paraId="1103D0FA" w14:textId="77777777" w:rsidTr="00C11DAC">
        <w:trPr>
          <w:trHeight w:val="288"/>
        </w:trPr>
        <w:tc>
          <w:tcPr>
            <w:tcW w:w="3246"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C46C22E"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Policy, Information and Commissioning Age Well</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1946BA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1.000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5F2B2C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0.982</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7AC105E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-0.018</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5A0B928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-1.80%</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090146B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0.018</w:t>
            </w:r>
          </w:p>
        </w:tc>
      </w:tr>
      <w:tr w:rsidR="000F78F1" w:rsidRPr="000F78F1" w14:paraId="456D6D00"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5A74B427"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Policy, Information and      Commissioning Live Well</w:t>
            </w:r>
          </w:p>
        </w:tc>
        <w:tc>
          <w:tcPr>
            <w:tcW w:w="1175" w:type="dxa"/>
            <w:tcBorders>
              <w:top w:val="nil"/>
              <w:left w:val="nil"/>
              <w:bottom w:val="single" w:sz="4" w:space="0" w:color="auto"/>
              <w:right w:val="single" w:sz="4" w:space="0" w:color="auto"/>
            </w:tcBorders>
            <w:shd w:val="clear" w:color="auto" w:fill="auto"/>
            <w:vAlign w:val="center"/>
            <w:hideMark/>
          </w:tcPr>
          <w:p w14:paraId="4A3011E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0.951</w:t>
            </w:r>
          </w:p>
        </w:tc>
        <w:tc>
          <w:tcPr>
            <w:tcW w:w="1175" w:type="dxa"/>
            <w:tcBorders>
              <w:top w:val="nil"/>
              <w:left w:val="nil"/>
              <w:bottom w:val="single" w:sz="4" w:space="0" w:color="auto"/>
              <w:right w:val="single" w:sz="4" w:space="0" w:color="auto"/>
            </w:tcBorders>
            <w:shd w:val="clear" w:color="auto" w:fill="auto"/>
            <w:vAlign w:val="center"/>
            <w:hideMark/>
          </w:tcPr>
          <w:p w14:paraId="312B038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0.936</w:t>
            </w:r>
          </w:p>
        </w:tc>
        <w:tc>
          <w:tcPr>
            <w:tcW w:w="1176" w:type="dxa"/>
            <w:tcBorders>
              <w:top w:val="nil"/>
              <w:left w:val="nil"/>
              <w:bottom w:val="single" w:sz="4" w:space="0" w:color="auto"/>
              <w:right w:val="single" w:sz="4" w:space="0" w:color="auto"/>
            </w:tcBorders>
            <w:shd w:val="clear" w:color="000000" w:fill="D9D9D9"/>
            <w:vAlign w:val="center"/>
            <w:hideMark/>
          </w:tcPr>
          <w:p w14:paraId="5A328E7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-0.015</w:t>
            </w:r>
          </w:p>
        </w:tc>
        <w:tc>
          <w:tcPr>
            <w:tcW w:w="1175" w:type="dxa"/>
            <w:tcBorders>
              <w:top w:val="nil"/>
              <w:left w:val="nil"/>
              <w:bottom w:val="single" w:sz="4" w:space="0" w:color="auto"/>
              <w:right w:val="single" w:sz="4" w:space="0" w:color="auto"/>
            </w:tcBorders>
            <w:shd w:val="clear" w:color="auto" w:fill="auto"/>
            <w:vAlign w:val="center"/>
            <w:hideMark/>
          </w:tcPr>
          <w:p w14:paraId="608FFE7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-1.58%</w:t>
            </w:r>
          </w:p>
        </w:tc>
        <w:tc>
          <w:tcPr>
            <w:tcW w:w="1176" w:type="dxa"/>
            <w:tcBorders>
              <w:top w:val="nil"/>
              <w:left w:val="nil"/>
              <w:bottom w:val="single" w:sz="4" w:space="0" w:color="auto"/>
              <w:right w:val="single" w:sz="4" w:space="0" w:color="auto"/>
            </w:tcBorders>
            <w:shd w:val="clear" w:color="000000" w:fill="D9D9D9"/>
            <w:vAlign w:val="center"/>
            <w:hideMark/>
          </w:tcPr>
          <w:p w14:paraId="0F22CF0A"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0.019</w:t>
            </w:r>
          </w:p>
        </w:tc>
      </w:tr>
      <w:tr w:rsidR="000F78F1" w:rsidRPr="000F78F1" w14:paraId="520E56A1" w14:textId="77777777" w:rsidTr="00C11DAC">
        <w:trPr>
          <w:trHeight w:val="303"/>
        </w:trPr>
        <w:tc>
          <w:tcPr>
            <w:tcW w:w="3246" w:type="dxa"/>
            <w:tcBorders>
              <w:top w:val="nil"/>
              <w:left w:val="single" w:sz="8" w:space="0" w:color="auto"/>
              <w:bottom w:val="single" w:sz="8" w:space="0" w:color="auto"/>
              <w:right w:val="single" w:sz="4" w:space="0" w:color="auto"/>
            </w:tcBorders>
            <w:shd w:val="clear" w:color="000000" w:fill="D9D9D9"/>
            <w:vAlign w:val="center"/>
            <w:hideMark/>
          </w:tcPr>
          <w:p w14:paraId="11FB85F3"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Adult Services and Health and Wellbeing</w:t>
            </w:r>
          </w:p>
        </w:tc>
        <w:tc>
          <w:tcPr>
            <w:tcW w:w="1175" w:type="dxa"/>
            <w:tcBorders>
              <w:top w:val="nil"/>
              <w:left w:val="nil"/>
              <w:bottom w:val="single" w:sz="8" w:space="0" w:color="auto"/>
              <w:right w:val="single" w:sz="4" w:space="0" w:color="auto"/>
            </w:tcBorders>
            <w:shd w:val="clear" w:color="000000" w:fill="D9D9D9"/>
            <w:vAlign w:val="center"/>
            <w:hideMark/>
          </w:tcPr>
          <w:p w14:paraId="794E72C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1.951</w:t>
            </w:r>
          </w:p>
        </w:tc>
        <w:tc>
          <w:tcPr>
            <w:tcW w:w="1175" w:type="dxa"/>
            <w:tcBorders>
              <w:top w:val="nil"/>
              <w:left w:val="nil"/>
              <w:bottom w:val="single" w:sz="8" w:space="0" w:color="auto"/>
              <w:right w:val="single" w:sz="4" w:space="0" w:color="auto"/>
            </w:tcBorders>
            <w:shd w:val="clear" w:color="000000" w:fill="D9D9D9"/>
            <w:vAlign w:val="center"/>
            <w:hideMark/>
          </w:tcPr>
          <w:p w14:paraId="5196ECC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1.918</w:t>
            </w:r>
          </w:p>
        </w:tc>
        <w:tc>
          <w:tcPr>
            <w:tcW w:w="1176" w:type="dxa"/>
            <w:tcBorders>
              <w:top w:val="nil"/>
              <w:left w:val="nil"/>
              <w:bottom w:val="single" w:sz="8" w:space="0" w:color="auto"/>
              <w:right w:val="single" w:sz="4" w:space="0" w:color="auto"/>
            </w:tcBorders>
            <w:shd w:val="clear" w:color="000000" w:fill="D9D9D9"/>
            <w:vAlign w:val="center"/>
            <w:hideMark/>
          </w:tcPr>
          <w:p w14:paraId="2607558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-0.033</w:t>
            </w:r>
          </w:p>
        </w:tc>
        <w:tc>
          <w:tcPr>
            <w:tcW w:w="1175" w:type="dxa"/>
            <w:tcBorders>
              <w:top w:val="nil"/>
              <w:left w:val="nil"/>
              <w:bottom w:val="single" w:sz="8" w:space="0" w:color="auto"/>
              <w:right w:val="single" w:sz="4" w:space="0" w:color="auto"/>
            </w:tcBorders>
            <w:shd w:val="clear" w:color="000000" w:fill="D9D9D9"/>
            <w:vAlign w:val="center"/>
            <w:hideMark/>
          </w:tcPr>
          <w:p w14:paraId="02681853"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-1.69%</w:t>
            </w:r>
          </w:p>
        </w:tc>
        <w:tc>
          <w:tcPr>
            <w:tcW w:w="1176" w:type="dxa"/>
            <w:tcBorders>
              <w:top w:val="nil"/>
              <w:left w:val="nil"/>
              <w:bottom w:val="single" w:sz="8" w:space="0" w:color="auto"/>
              <w:right w:val="single" w:sz="4" w:space="0" w:color="auto"/>
            </w:tcBorders>
            <w:shd w:val="clear" w:color="000000" w:fill="D9D9D9"/>
            <w:vAlign w:val="center"/>
            <w:hideMark/>
          </w:tcPr>
          <w:p w14:paraId="6E79CF3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0.037</w:t>
            </w:r>
          </w:p>
        </w:tc>
      </w:tr>
      <w:tr w:rsidR="000F78F1" w:rsidRPr="000F78F1" w14:paraId="5CB0E9CF" w14:textId="77777777" w:rsidTr="00C11DAC">
        <w:trPr>
          <w:trHeight w:val="303"/>
        </w:trPr>
        <w:tc>
          <w:tcPr>
            <w:tcW w:w="3246" w:type="dxa"/>
            <w:tcBorders>
              <w:top w:val="nil"/>
              <w:left w:val="single" w:sz="8" w:space="0" w:color="auto"/>
              <w:bottom w:val="single" w:sz="8" w:space="0" w:color="auto"/>
              <w:right w:val="single" w:sz="4" w:space="0" w:color="auto"/>
            </w:tcBorders>
            <w:shd w:val="clear" w:color="auto" w:fill="auto"/>
            <w:vAlign w:val="center"/>
          </w:tcPr>
          <w:p w14:paraId="0B1E4884"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23D0A441"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163A233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6" w:type="dxa"/>
            <w:tcBorders>
              <w:top w:val="nil"/>
              <w:left w:val="nil"/>
              <w:bottom w:val="single" w:sz="8" w:space="0" w:color="auto"/>
              <w:right w:val="single" w:sz="4" w:space="0" w:color="auto"/>
            </w:tcBorders>
            <w:shd w:val="clear" w:color="auto" w:fill="auto"/>
            <w:vAlign w:val="center"/>
          </w:tcPr>
          <w:p w14:paraId="4F65A10A"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single" w:sz="8" w:space="0" w:color="auto"/>
              <w:right w:val="single" w:sz="4" w:space="0" w:color="auto"/>
            </w:tcBorders>
            <w:shd w:val="clear" w:color="auto" w:fill="auto"/>
            <w:vAlign w:val="center"/>
          </w:tcPr>
          <w:p w14:paraId="08DFCEFC"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6" w:type="dxa"/>
            <w:tcBorders>
              <w:top w:val="nil"/>
              <w:left w:val="nil"/>
              <w:bottom w:val="single" w:sz="8" w:space="0" w:color="auto"/>
              <w:right w:val="single" w:sz="4" w:space="0" w:color="auto"/>
            </w:tcBorders>
            <w:shd w:val="clear" w:color="auto" w:fill="auto"/>
            <w:vAlign w:val="center"/>
          </w:tcPr>
          <w:p w14:paraId="0D143E91"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BD9064A" w14:textId="77777777" w:rsidTr="00C11DAC">
        <w:trPr>
          <w:trHeight w:val="303"/>
        </w:trPr>
        <w:tc>
          <w:tcPr>
            <w:tcW w:w="324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A069FB1" w14:textId="77777777" w:rsidR="000F78F1" w:rsidRPr="000F78F1" w:rsidRDefault="000F78F1" w:rsidP="000F78F1">
            <w:pPr>
              <w:autoSpaceDE/>
              <w:autoSpaceDN/>
              <w:adjustRightInd/>
              <w:spacing w:after="0"/>
              <w:jc w:val="left"/>
              <w:rPr>
                <w:rFonts w:eastAsia="Times New Roman" w:cs="Arial"/>
                <w:b/>
                <w:bCs/>
                <w:lang w:eastAsia="en-GB"/>
              </w:rPr>
            </w:pPr>
            <w:r w:rsidRPr="000F78F1">
              <w:rPr>
                <w:rFonts w:eastAsia="Times New Roman" w:cs="Arial"/>
                <w:b/>
                <w:bCs/>
                <w:lang w:eastAsia="en-GB"/>
              </w:rPr>
              <w:t>Total Adults</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3B28F596"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425.029</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2D623C62"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421.945</w:t>
            </w:r>
          </w:p>
        </w:tc>
        <w:tc>
          <w:tcPr>
            <w:tcW w:w="1176" w:type="dxa"/>
            <w:tcBorders>
              <w:top w:val="single" w:sz="4" w:space="0" w:color="auto"/>
              <w:left w:val="nil"/>
              <w:bottom w:val="single" w:sz="8" w:space="0" w:color="auto"/>
              <w:right w:val="single" w:sz="4" w:space="0" w:color="auto"/>
            </w:tcBorders>
            <w:shd w:val="clear" w:color="000000" w:fill="D9D9D9"/>
            <w:vAlign w:val="center"/>
            <w:hideMark/>
          </w:tcPr>
          <w:p w14:paraId="2CB33A9E"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-3.084</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72DC9005"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-0.73%</w:t>
            </w:r>
          </w:p>
        </w:tc>
        <w:tc>
          <w:tcPr>
            <w:tcW w:w="1176" w:type="dxa"/>
            <w:tcBorders>
              <w:top w:val="single" w:sz="4" w:space="0" w:color="auto"/>
              <w:left w:val="nil"/>
              <w:bottom w:val="single" w:sz="8" w:space="0" w:color="auto"/>
              <w:right w:val="single" w:sz="4" w:space="0" w:color="auto"/>
            </w:tcBorders>
            <w:shd w:val="clear" w:color="000000" w:fill="D9D9D9"/>
            <w:vAlign w:val="center"/>
            <w:hideMark/>
          </w:tcPr>
          <w:p w14:paraId="128DFABE"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3.505</w:t>
            </w:r>
          </w:p>
        </w:tc>
      </w:tr>
      <w:tr w:rsidR="000F78F1" w:rsidRPr="000F78F1" w14:paraId="7F122B16" w14:textId="77777777" w:rsidTr="00C11DAC">
        <w:trPr>
          <w:trHeight w:val="288"/>
        </w:trPr>
        <w:tc>
          <w:tcPr>
            <w:tcW w:w="3246" w:type="dxa"/>
            <w:tcBorders>
              <w:top w:val="nil"/>
              <w:left w:val="single" w:sz="4" w:space="0" w:color="auto"/>
              <w:bottom w:val="single" w:sz="4" w:space="0" w:color="auto"/>
              <w:right w:val="nil"/>
            </w:tcBorders>
            <w:shd w:val="clear" w:color="auto" w:fill="auto"/>
            <w:noWrap/>
            <w:vAlign w:val="bottom"/>
            <w:hideMark/>
          </w:tcPr>
          <w:p w14:paraId="7FD338B8"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single" w:sz="4" w:space="0" w:color="auto"/>
              <w:right w:val="nil"/>
            </w:tcBorders>
            <w:shd w:val="clear" w:color="auto" w:fill="auto"/>
            <w:noWrap/>
            <w:vAlign w:val="bottom"/>
            <w:hideMark/>
          </w:tcPr>
          <w:p w14:paraId="6533E427"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5" w:type="dxa"/>
            <w:tcBorders>
              <w:top w:val="nil"/>
              <w:left w:val="nil"/>
              <w:bottom w:val="single" w:sz="4" w:space="0" w:color="auto"/>
              <w:right w:val="nil"/>
            </w:tcBorders>
            <w:shd w:val="clear" w:color="auto" w:fill="auto"/>
            <w:noWrap/>
            <w:vAlign w:val="bottom"/>
            <w:hideMark/>
          </w:tcPr>
          <w:p w14:paraId="12C48902"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6" w:type="dxa"/>
            <w:tcBorders>
              <w:top w:val="nil"/>
              <w:left w:val="nil"/>
              <w:bottom w:val="single" w:sz="4" w:space="0" w:color="auto"/>
              <w:right w:val="nil"/>
            </w:tcBorders>
            <w:shd w:val="clear" w:color="auto" w:fill="auto"/>
            <w:noWrap/>
            <w:vAlign w:val="bottom"/>
            <w:hideMark/>
          </w:tcPr>
          <w:p w14:paraId="18C8C73A"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5" w:type="dxa"/>
            <w:tcBorders>
              <w:top w:val="nil"/>
              <w:left w:val="nil"/>
              <w:bottom w:val="single" w:sz="4" w:space="0" w:color="auto"/>
              <w:right w:val="nil"/>
            </w:tcBorders>
            <w:shd w:val="clear" w:color="auto" w:fill="auto"/>
            <w:noWrap/>
            <w:vAlign w:val="bottom"/>
            <w:hideMark/>
          </w:tcPr>
          <w:p w14:paraId="698FCA12"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6" w:type="dxa"/>
            <w:tcBorders>
              <w:top w:val="nil"/>
              <w:left w:val="nil"/>
              <w:bottom w:val="single" w:sz="4" w:space="0" w:color="auto"/>
              <w:right w:val="single" w:sz="4" w:space="0" w:color="auto"/>
            </w:tcBorders>
            <w:shd w:val="clear" w:color="auto" w:fill="auto"/>
            <w:noWrap/>
            <w:vAlign w:val="bottom"/>
            <w:hideMark/>
          </w:tcPr>
          <w:p w14:paraId="4C47F1C0"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r>
      <w:tr w:rsidR="000F78F1" w:rsidRPr="000F78F1" w14:paraId="16E44984" w14:textId="77777777" w:rsidTr="00C11DAC">
        <w:trPr>
          <w:trHeight w:val="288"/>
        </w:trPr>
        <w:tc>
          <w:tcPr>
            <w:tcW w:w="3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0BF11C"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Public Health and Wellbeing</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202DC4C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-67.272</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16E28E5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-67.274</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0C7A574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-0.002</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C71F0F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w:t>
            </w:r>
          </w:p>
        </w:tc>
        <w:tc>
          <w:tcPr>
            <w:tcW w:w="1176" w:type="dxa"/>
            <w:tcBorders>
              <w:top w:val="single" w:sz="4" w:space="0" w:color="auto"/>
              <w:left w:val="nil"/>
              <w:bottom w:val="single" w:sz="4" w:space="0" w:color="auto"/>
              <w:right w:val="single" w:sz="4" w:space="0" w:color="auto"/>
            </w:tcBorders>
            <w:shd w:val="clear" w:color="000000" w:fill="D9D9D9"/>
            <w:vAlign w:val="center"/>
            <w:hideMark/>
          </w:tcPr>
          <w:p w14:paraId="4A360ED8"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3969BFCF"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4EE506A6"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Health Equity Welfare and Partnerships</w:t>
            </w:r>
          </w:p>
        </w:tc>
        <w:tc>
          <w:tcPr>
            <w:tcW w:w="1175" w:type="dxa"/>
            <w:tcBorders>
              <w:top w:val="nil"/>
              <w:left w:val="nil"/>
              <w:bottom w:val="single" w:sz="4" w:space="0" w:color="auto"/>
              <w:right w:val="single" w:sz="4" w:space="0" w:color="auto"/>
            </w:tcBorders>
            <w:shd w:val="clear" w:color="auto" w:fill="auto"/>
            <w:vAlign w:val="center"/>
            <w:hideMark/>
          </w:tcPr>
          <w:p w14:paraId="433CE2E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58.555</w:t>
            </w:r>
          </w:p>
        </w:tc>
        <w:tc>
          <w:tcPr>
            <w:tcW w:w="1175" w:type="dxa"/>
            <w:tcBorders>
              <w:top w:val="nil"/>
              <w:left w:val="nil"/>
              <w:bottom w:val="single" w:sz="4" w:space="0" w:color="auto"/>
              <w:right w:val="single" w:sz="4" w:space="0" w:color="auto"/>
            </w:tcBorders>
            <w:shd w:val="clear" w:color="auto" w:fill="auto"/>
            <w:vAlign w:val="center"/>
            <w:hideMark/>
          </w:tcPr>
          <w:p w14:paraId="11D96E2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58.541</w:t>
            </w:r>
          </w:p>
        </w:tc>
        <w:tc>
          <w:tcPr>
            <w:tcW w:w="1176" w:type="dxa"/>
            <w:tcBorders>
              <w:top w:val="nil"/>
              <w:left w:val="nil"/>
              <w:bottom w:val="single" w:sz="4" w:space="0" w:color="auto"/>
              <w:right w:val="single" w:sz="4" w:space="0" w:color="auto"/>
            </w:tcBorders>
            <w:shd w:val="clear" w:color="000000" w:fill="D9D9D9"/>
            <w:vAlign w:val="center"/>
            <w:hideMark/>
          </w:tcPr>
          <w:p w14:paraId="5D642E9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-0.014</w:t>
            </w:r>
          </w:p>
        </w:tc>
        <w:tc>
          <w:tcPr>
            <w:tcW w:w="1175" w:type="dxa"/>
            <w:tcBorders>
              <w:top w:val="nil"/>
              <w:left w:val="nil"/>
              <w:bottom w:val="single" w:sz="4" w:space="0" w:color="auto"/>
              <w:right w:val="single" w:sz="4" w:space="0" w:color="auto"/>
            </w:tcBorders>
            <w:shd w:val="clear" w:color="auto" w:fill="auto"/>
            <w:vAlign w:val="center"/>
            <w:hideMark/>
          </w:tcPr>
          <w:p w14:paraId="675BBE2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-0.02%</w:t>
            </w:r>
          </w:p>
        </w:tc>
        <w:tc>
          <w:tcPr>
            <w:tcW w:w="1176" w:type="dxa"/>
            <w:tcBorders>
              <w:top w:val="nil"/>
              <w:left w:val="nil"/>
              <w:bottom w:val="single" w:sz="4" w:space="0" w:color="auto"/>
              <w:right w:val="single" w:sz="4" w:space="0" w:color="auto"/>
            </w:tcBorders>
            <w:shd w:val="clear" w:color="000000" w:fill="D9D9D9"/>
            <w:vAlign w:val="center"/>
            <w:hideMark/>
          </w:tcPr>
          <w:p w14:paraId="4599D413"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0.040</w:t>
            </w:r>
          </w:p>
        </w:tc>
      </w:tr>
      <w:tr w:rsidR="000F78F1" w:rsidRPr="000F78F1" w14:paraId="766988AF"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28F0390C"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Health Safety and Resilience</w:t>
            </w:r>
          </w:p>
        </w:tc>
        <w:tc>
          <w:tcPr>
            <w:tcW w:w="1175" w:type="dxa"/>
            <w:tcBorders>
              <w:top w:val="nil"/>
              <w:left w:val="nil"/>
              <w:bottom w:val="single" w:sz="4" w:space="0" w:color="auto"/>
              <w:right w:val="single" w:sz="4" w:space="0" w:color="auto"/>
            </w:tcBorders>
            <w:shd w:val="clear" w:color="auto" w:fill="auto"/>
            <w:vAlign w:val="center"/>
            <w:hideMark/>
          </w:tcPr>
          <w:p w14:paraId="22C95AD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1.322</w:t>
            </w:r>
          </w:p>
        </w:tc>
        <w:tc>
          <w:tcPr>
            <w:tcW w:w="1175" w:type="dxa"/>
            <w:tcBorders>
              <w:top w:val="nil"/>
              <w:left w:val="nil"/>
              <w:bottom w:val="single" w:sz="4" w:space="0" w:color="auto"/>
              <w:right w:val="single" w:sz="4" w:space="0" w:color="auto"/>
            </w:tcBorders>
            <w:shd w:val="clear" w:color="auto" w:fill="auto"/>
            <w:vAlign w:val="center"/>
            <w:hideMark/>
          </w:tcPr>
          <w:p w14:paraId="21AE25D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1.040</w:t>
            </w:r>
          </w:p>
        </w:tc>
        <w:tc>
          <w:tcPr>
            <w:tcW w:w="1176" w:type="dxa"/>
            <w:tcBorders>
              <w:top w:val="nil"/>
              <w:left w:val="nil"/>
              <w:bottom w:val="single" w:sz="4" w:space="0" w:color="auto"/>
              <w:right w:val="single" w:sz="4" w:space="0" w:color="auto"/>
            </w:tcBorders>
            <w:shd w:val="clear" w:color="000000" w:fill="D9D9D9"/>
            <w:vAlign w:val="center"/>
            <w:hideMark/>
          </w:tcPr>
          <w:p w14:paraId="30EEBD7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-0.282</w:t>
            </w:r>
          </w:p>
        </w:tc>
        <w:tc>
          <w:tcPr>
            <w:tcW w:w="1175" w:type="dxa"/>
            <w:tcBorders>
              <w:top w:val="nil"/>
              <w:left w:val="nil"/>
              <w:bottom w:val="single" w:sz="4" w:space="0" w:color="auto"/>
              <w:right w:val="single" w:sz="4" w:space="0" w:color="auto"/>
            </w:tcBorders>
            <w:shd w:val="clear" w:color="auto" w:fill="auto"/>
            <w:vAlign w:val="center"/>
            <w:hideMark/>
          </w:tcPr>
          <w:p w14:paraId="51E74A9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-21.33%</w:t>
            </w:r>
          </w:p>
        </w:tc>
        <w:tc>
          <w:tcPr>
            <w:tcW w:w="1176" w:type="dxa"/>
            <w:tcBorders>
              <w:top w:val="nil"/>
              <w:left w:val="nil"/>
              <w:bottom w:val="single" w:sz="4" w:space="0" w:color="auto"/>
              <w:right w:val="single" w:sz="4" w:space="0" w:color="auto"/>
            </w:tcBorders>
            <w:shd w:val="clear" w:color="000000" w:fill="D9D9D9"/>
            <w:vAlign w:val="center"/>
            <w:hideMark/>
          </w:tcPr>
          <w:p w14:paraId="3125137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-0.177</w:t>
            </w:r>
          </w:p>
        </w:tc>
      </w:tr>
      <w:tr w:rsidR="000F78F1" w:rsidRPr="000F78F1" w14:paraId="2A193FE5" w14:textId="77777777" w:rsidTr="00C11DAC">
        <w:trPr>
          <w:trHeight w:val="288"/>
        </w:trPr>
        <w:tc>
          <w:tcPr>
            <w:tcW w:w="3246" w:type="dxa"/>
            <w:tcBorders>
              <w:top w:val="nil"/>
              <w:left w:val="single" w:sz="8" w:space="0" w:color="auto"/>
              <w:bottom w:val="single" w:sz="4" w:space="0" w:color="auto"/>
              <w:right w:val="single" w:sz="4" w:space="0" w:color="auto"/>
            </w:tcBorders>
            <w:shd w:val="clear" w:color="000000" w:fill="D9D9D9"/>
            <w:vAlign w:val="center"/>
            <w:hideMark/>
          </w:tcPr>
          <w:p w14:paraId="49AD9F7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Trading Standards and Scientific Services</w:t>
            </w:r>
          </w:p>
        </w:tc>
        <w:tc>
          <w:tcPr>
            <w:tcW w:w="1175" w:type="dxa"/>
            <w:tcBorders>
              <w:top w:val="nil"/>
              <w:left w:val="nil"/>
              <w:bottom w:val="single" w:sz="4" w:space="0" w:color="auto"/>
              <w:right w:val="single" w:sz="4" w:space="0" w:color="auto"/>
            </w:tcBorders>
            <w:shd w:val="clear" w:color="auto" w:fill="auto"/>
            <w:vAlign w:val="center"/>
            <w:hideMark/>
          </w:tcPr>
          <w:p w14:paraId="24CB04F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3.603</w:t>
            </w:r>
          </w:p>
        </w:tc>
        <w:tc>
          <w:tcPr>
            <w:tcW w:w="1175" w:type="dxa"/>
            <w:tcBorders>
              <w:top w:val="nil"/>
              <w:left w:val="nil"/>
              <w:bottom w:val="single" w:sz="4" w:space="0" w:color="auto"/>
              <w:right w:val="single" w:sz="4" w:space="0" w:color="auto"/>
            </w:tcBorders>
            <w:shd w:val="clear" w:color="auto" w:fill="auto"/>
            <w:vAlign w:val="center"/>
            <w:hideMark/>
          </w:tcPr>
          <w:p w14:paraId="1B8AAA8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3.936</w:t>
            </w:r>
          </w:p>
        </w:tc>
        <w:tc>
          <w:tcPr>
            <w:tcW w:w="1176" w:type="dxa"/>
            <w:tcBorders>
              <w:top w:val="nil"/>
              <w:left w:val="nil"/>
              <w:bottom w:val="single" w:sz="4" w:space="0" w:color="auto"/>
              <w:right w:val="single" w:sz="4" w:space="0" w:color="auto"/>
            </w:tcBorders>
            <w:shd w:val="clear" w:color="000000" w:fill="D9D9D9"/>
            <w:vAlign w:val="center"/>
            <w:hideMark/>
          </w:tcPr>
          <w:p w14:paraId="31BC263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0.333</w:t>
            </w:r>
          </w:p>
        </w:tc>
        <w:tc>
          <w:tcPr>
            <w:tcW w:w="1175" w:type="dxa"/>
            <w:tcBorders>
              <w:top w:val="nil"/>
              <w:left w:val="nil"/>
              <w:bottom w:val="single" w:sz="4" w:space="0" w:color="auto"/>
              <w:right w:val="single" w:sz="4" w:space="0" w:color="auto"/>
            </w:tcBorders>
            <w:shd w:val="clear" w:color="auto" w:fill="auto"/>
            <w:vAlign w:val="center"/>
            <w:hideMark/>
          </w:tcPr>
          <w:p w14:paraId="1A125EB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9.24%</w:t>
            </w:r>
          </w:p>
        </w:tc>
        <w:tc>
          <w:tcPr>
            <w:tcW w:w="1176" w:type="dxa"/>
            <w:tcBorders>
              <w:top w:val="nil"/>
              <w:left w:val="nil"/>
              <w:bottom w:val="single" w:sz="4" w:space="0" w:color="auto"/>
              <w:right w:val="single" w:sz="4" w:space="0" w:color="auto"/>
            </w:tcBorders>
            <w:shd w:val="clear" w:color="000000" w:fill="D9D9D9"/>
            <w:vAlign w:val="center"/>
            <w:hideMark/>
          </w:tcPr>
          <w:p w14:paraId="4DC8C423"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0.390</w:t>
            </w:r>
          </w:p>
        </w:tc>
      </w:tr>
      <w:tr w:rsidR="000F78F1" w:rsidRPr="000F78F1" w14:paraId="1674E618" w14:textId="77777777" w:rsidTr="00C11DAC">
        <w:trPr>
          <w:trHeight w:val="303"/>
        </w:trPr>
        <w:tc>
          <w:tcPr>
            <w:tcW w:w="3246" w:type="dxa"/>
            <w:tcBorders>
              <w:top w:val="nil"/>
              <w:left w:val="single" w:sz="8" w:space="0" w:color="auto"/>
              <w:bottom w:val="single" w:sz="8" w:space="0" w:color="auto"/>
              <w:right w:val="single" w:sz="4" w:space="0" w:color="auto"/>
            </w:tcBorders>
            <w:shd w:val="clear" w:color="000000" w:fill="D9D9D9"/>
            <w:vAlign w:val="center"/>
            <w:hideMark/>
          </w:tcPr>
          <w:p w14:paraId="25B4EB1E" w14:textId="77777777" w:rsidR="000F78F1" w:rsidRPr="000F78F1" w:rsidRDefault="000F78F1" w:rsidP="000F78F1">
            <w:pPr>
              <w:autoSpaceDE/>
              <w:autoSpaceDN/>
              <w:adjustRightInd/>
              <w:spacing w:after="0"/>
              <w:jc w:val="left"/>
              <w:rPr>
                <w:rFonts w:eastAsia="Times New Roman" w:cs="Arial"/>
                <w:b/>
                <w:bCs/>
                <w:lang w:eastAsia="en-GB"/>
              </w:rPr>
            </w:pPr>
            <w:r w:rsidRPr="000F78F1">
              <w:rPr>
                <w:rFonts w:eastAsia="Times New Roman" w:cs="Arial"/>
                <w:b/>
                <w:bCs/>
                <w:lang w:eastAsia="en-GB"/>
              </w:rPr>
              <w:t>Total Public Health</w:t>
            </w:r>
          </w:p>
        </w:tc>
        <w:tc>
          <w:tcPr>
            <w:tcW w:w="1175" w:type="dxa"/>
            <w:tcBorders>
              <w:top w:val="nil"/>
              <w:left w:val="nil"/>
              <w:bottom w:val="single" w:sz="8" w:space="0" w:color="auto"/>
              <w:right w:val="single" w:sz="4" w:space="0" w:color="auto"/>
            </w:tcBorders>
            <w:shd w:val="clear" w:color="000000" w:fill="D9D9D9"/>
            <w:vAlign w:val="center"/>
            <w:hideMark/>
          </w:tcPr>
          <w:p w14:paraId="28AC96D8"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-3.792</w:t>
            </w:r>
          </w:p>
        </w:tc>
        <w:tc>
          <w:tcPr>
            <w:tcW w:w="1175" w:type="dxa"/>
            <w:tcBorders>
              <w:top w:val="nil"/>
              <w:left w:val="nil"/>
              <w:bottom w:val="single" w:sz="8" w:space="0" w:color="auto"/>
              <w:right w:val="single" w:sz="4" w:space="0" w:color="auto"/>
            </w:tcBorders>
            <w:shd w:val="clear" w:color="000000" w:fill="D9D9D9"/>
            <w:vAlign w:val="center"/>
            <w:hideMark/>
          </w:tcPr>
          <w:p w14:paraId="0023B81C"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-3.757</w:t>
            </w:r>
          </w:p>
        </w:tc>
        <w:tc>
          <w:tcPr>
            <w:tcW w:w="1176" w:type="dxa"/>
            <w:tcBorders>
              <w:top w:val="nil"/>
              <w:left w:val="nil"/>
              <w:bottom w:val="single" w:sz="8" w:space="0" w:color="auto"/>
              <w:right w:val="single" w:sz="4" w:space="0" w:color="auto"/>
            </w:tcBorders>
            <w:shd w:val="clear" w:color="000000" w:fill="D9D9D9"/>
            <w:vAlign w:val="center"/>
            <w:hideMark/>
          </w:tcPr>
          <w:p w14:paraId="755AC344"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0.035</w:t>
            </w:r>
          </w:p>
        </w:tc>
        <w:tc>
          <w:tcPr>
            <w:tcW w:w="1175" w:type="dxa"/>
            <w:tcBorders>
              <w:top w:val="nil"/>
              <w:left w:val="nil"/>
              <w:bottom w:val="single" w:sz="8" w:space="0" w:color="auto"/>
              <w:right w:val="single" w:sz="4" w:space="0" w:color="auto"/>
            </w:tcBorders>
            <w:shd w:val="clear" w:color="000000" w:fill="D9D9D9"/>
            <w:vAlign w:val="center"/>
            <w:hideMark/>
          </w:tcPr>
          <w:p w14:paraId="3601F148"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-0.92%</w:t>
            </w:r>
          </w:p>
        </w:tc>
        <w:tc>
          <w:tcPr>
            <w:tcW w:w="1176" w:type="dxa"/>
            <w:tcBorders>
              <w:top w:val="nil"/>
              <w:left w:val="nil"/>
              <w:bottom w:val="single" w:sz="8" w:space="0" w:color="auto"/>
              <w:right w:val="single" w:sz="4" w:space="0" w:color="auto"/>
            </w:tcBorders>
            <w:shd w:val="clear" w:color="000000" w:fill="D9D9D9"/>
            <w:vAlign w:val="center"/>
            <w:hideMark/>
          </w:tcPr>
          <w:p w14:paraId="0392167A"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0.253</w:t>
            </w:r>
          </w:p>
        </w:tc>
      </w:tr>
      <w:tr w:rsidR="000F78F1" w:rsidRPr="000F78F1" w14:paraId="3F86D83C" w14:textId="77777777" w:rsidTr="00C11DAC">
        <w:trPr>
          <w:trHeight w:val="288"/>
        </w:trPr>
        <w:tc>
          <w:tcPr>
            <w:tcW w:w="3246" w:type="dxa"/>
            <w:tcBorders>
              <w:top w:val="nil"/>
              <w:left w:val="nil"/>
              <w:bottom w:val="nil"/>
              <w:right w:val="nil"/>
            </w:tcBorders>
            <w:shd w:val="clear" w:color="auto" w:fill="auto"/>
            <w:noWrap/>
            <w:vAlign w:val="bottom"/>
            <w:hideMark/>
          </w:tcPr>
          <w:p w14:paraId="1DABDACC"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175" w:type="dxa"/>
            <w:tcBorders>
              <w:top w:val="nil"/>
              <w:left w:val="nil"/>
              <w:bottom w:val="nil"/>
              <w:right w:val="nil"/>
            </w:tcBorders>
            <w:shd w:val="clear" w:color="auto" w:fill="auto"/>
            <w:noWrap/>
            <w:vAlign w:val="bottom"/>
            <w:hideMark/>
          </w:tcPr>
          <w:p w14:paraId="64F580CD"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5" w:type="dxa"/>
            <w:tcBorders>
              <w:top w:val="nil"/>
              <w:left w:val="nil"/>
              <w:bottom w:val="nil"/>
              <w:right w:val="nil"/>
            </w:tcBorders>
            <w:shd w:val="clear" w:color="auto" w:fill="auto"/>
            <w:noWrap/>
            <w:vAlign w:val="bottom"/>
            <w:hideMark/>
          </w:tcPr>
          <w:p w14:paraId="395B1742"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6" w:type="dxa"/>
            <w:tcBorders>
              <w:top w:val="nil"/>
              <w:left w:val="nil"/>
              <w:bottom w:val="nil"/>
              <w:right w:val="nil"/>
            </w:tcBorders>
            <w:shd w:val="clear" w:color="auto" w:fill="auto"/>
            <w:noWrap/>
            <w:vAlign w:val="bottom"/>
            <w:hideMark/>
          </w:tcPr>
          <w:p w14:paraId="76981032"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5" w:type="dxa"/>
            <w:tcBorders>
              <w:top w:val="nil"/>
              <w:left w:val="nil"/>
              <w:bottom w:val="nil"/>
              <w:right w:val="nil"/>
            </w:tcBorders>
            <w:shd w:val="clear" w:color="auto" w:fill="auto"/>
            <w:noWrap/>
            <w:vAlign w:val="bottom"/>
            <w:hideMark/>
          </w:tcPr>
          <w:p w14:paraId="42B24A78"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c>
          <w:tcPr>
            <w:tcW w:w="1176" w:type="dxa"/>
            <w:tcBorders>
              <w:top w:val="nil"/>
              <w:left w:val="nil"/>
              <w:bottom w:val="nil"/>
              <w:right w:val="nil"/>
            </w:tcBorders>
            <w:shd w:val="clear" w:color="auto" w:fill="auto"/>
            <w:noWrap/>
            <w:vAlign w:val="bottom"/>
            <w:hideMark/>
          </w:tcPr>
          <w:p w14:paraId="4CDFC49F" w14:textId="77777777" w:rsidR="000F78F1" w:rsidRPr="000F78F1" w:rsidRDefault="000F78F1" w:rsidP="000F78F1">
            <w:pPr>
              <w:autoSpaceDE/>
              <w:autoSpaceDN/>
              <w:adjustRightInd/>
              <w:spacing w:after="0"/>
              <w:jc w:val="left"/>
              <w:rPr>
                <w:rFonts w:ascii="Times New Roman" w:eastAsia="Times New Roman" w:hAnsi="Times New Roman" w:cs="Times New Roman"/>
                <w:color w:val="auto"/>
                <w:sz w:val="20"/>
                <w:szCs w:val="20"/>
                <w:lang w:eastAsia="en-GB"/>
              </w:rPr>
            </w:pPr>
          </w:p>
        </w:tc>
      </w:tr>
      <w:tr w:rsidR="000F78F1" w:rsidRPr="000F78F1" w14:paraId="036A3DF4" w14:textId="77777777" w:rsidTr="00C11DAC">
        <w:trPr>
          <w:trHeight w:val="303"/>
        </w:trPr>
        <w:tc>
          <w:tcPr>
            <w:tcW w:w="3246"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32252C9" w14:textId="77777777" w:rsidR="000F78F1" w:rsidRPr="000F78F1" w:rsidRDefault="000F78F1" w:rsidP="000F78F1">
            <w:pPr>
              <w:autoSpaceDE/>
              <w:autoSpaceDN/>
              <w:adjustRightInd/>
              <w:spacing w:after="0"/>
              <w:jc w:val="left"/>
              <w:rPr>
                <w:rFonts w:eastAsia="Times New Roman" w:cs="Arial"/>
                <w:b/>
                <w:bCs/>
                <w:lang w:eastAsia="en-GB"/>
              </w:rPr>
            </w:pPr>
            <w:r w:rsidRPr="000F78F1">
              <w:rPr>
                <w:rFonts w:eastAsia="Times New Roman" w:cs="Arial"/>
                <w:b/>
                <w:bCs/>
                <w:lang w:eastAsia="en-GB"/>
              </w:rPr>
              <w:t>Total Adult Services and Health and Wellbeing</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46CEAC74"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421.237</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01BACA44"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418.188</w:t>
            </w:r>
          </w:p>
        </w:tc>
        <w:tc>
          <w:tcPr>
            <w:tcW w:w="1176" w:type="dxa"/>
            <w:tcBorders>
              <w:top w:val="single" w:sz="4" w:space="0" w:color="auto"/>
              <w:left w:val="nil"/>
              <w:bottom w:val="single" w:sz="8" w:space="0" w:color="auto"/>
              <w:right w:val="single" w:sz="4" w:space="0" w:color="auto"/>
            </w:tcBorders>
            <w:shd w:val="clear" w:color="000000" w:fill="D9D9D9"/>
            <w:vAlign w:val="center"/>
            <w:hideMark/>
          </w:tcPr>
          <w:p w14:paraId="75EE4A4C"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-3.049</w:t>
            </w:r>
          </w:p>
        </w:tc>
        <w:tc>
          <w:tcPr>
            <w:tcW w:w="1175" w:type="dxa"/>
            <w:tcBorders>
              <w:top w:val="single" w:sz="4" w:space="0" w:color="auto"/>
              <w:left w:val="nil"/>
              <w:bottom w:val="single" w:sz="8" w:space="0" w:color="auto"/>
              <w:right w:val="single" w:sz="4" w:space="0" w:color="auto"/>
            </w:tcBorders>
            <w:shd w:val="clear" w:color="000000" w:fill="D9D9D9"/>
            <w:vAlign w:val="center"/>
            <w:hideMark/>
          </w:tcPr>
          <w:p w14:paraId="51A53D45"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-0.72%</w:t>
            </w:r>
          </w:p>
        </w:tc>
        <w:tc>
          <w:tcPr>
            <w:tcW w:w="1176" w:type="dxa"/>
            <w:tcBorders>
              <w:top w:val="single" w:sz="4" w:space="0" w:color="auto"/>
              <w:left w:val="nil"/>
              <w:bottom w:val="single" w:sz="8" w:space="0" w:color="auto"/>
              <w:right w:val="single" w:sz="4" w:space="0" w:color="auto"/>
            </w:tcBorders>
            <w:shd w:val="clear" w:color="000000" w:fill="D9D9D9"/>
            <w:vAlign w:val="center"/>
            <w:hideMark/>
          </w:tcPr>
          <w:p w14:paraId="4B2C73FB"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3.758</w:t>
            </w:r>
          </w:p>
        </w:tc>
      </w:tr>
    </w:tbl>
    <w:p w14:paraId="1DD75DFC" w14:textId="77777777" w:rsidR="000F78F1" w:rsidRPr="000F78F1" w:rsidRDefault="000F78F1" w:rsidP="000F78F1">
      <w:pPr>
        <w:spacing w:after="0"/>
        <w:textAlignment w:val="baseline"/>
        <w:rPr>
          <w:rFonts w:ascii="Calibri" w:eastAsia="Times New Roman" w:hAnsi="Calibri" w:cs="Calibri"/>
          <w:color w:val="FF0000"/>
          <w:lang w:eastAsia="en-GB"/>
        </w:rPr>
      </w:pPr>
    </w:p>
    <w:p w14:paraId="6A3D43B1" w14:textId="77777777" w:rsidR="000F78F1" w:rsidRPr="000F78F1" w:rsidRDefault="000F78F1" w:rsidP="000F78F1">
      <w:pPr>
        <w:tabs>
          <w:tab w:val="left" w:pos="1418"/>
        </w:tabs>
        <w:spacing w:after="0"/>
        <w:contextualSpacing/>
        <w:rPr>
          <w:rFonts w:cs="Arial"/>
        </w:rPr>
      </w:pPr>
      <w:r w:rsidRPr="000F78F1">
        <w:rPr>
          <w:rFonts w:cs="Arial"/>
        </w:rPr>
        <w:t xml:space="preserve">The total net approved budget for Adult Services and Health and Wellbeing in 2022/23 is £421.237m.  As at the end of September 2022, the service is forecast to underspend by £3.049m.  This is an improvement of £6.807m compared to Quarter 1. </w:t>
      </w:r>
    </w:p>
    <w:p w14:paraId="31CC0A83" w14:textId="77777777" w:rsidR="000F78F1" w:rsidRDefault="000F78F1" w:rsidP="000F78F1">
      <w:pPr>
        <w:spacing w:after="0"/>
        <w:ind w:right="-90"/>
        <w:textAlignment w:val="baseline"/>
        <w:rPr>
          <w:rFonts w:cs="Arial"/>
        </w:rPr>
      </w:pPr>
    </w:p>
    <w:p w14:paraId="767AB368" w14:textId="77777777" w:rsidR="000F78F1" w:rsidRDefault="000F78F1" w:rsidP="000F78F1">
      <w:pPr>
        <w:spacing w:after="0"/>
        <w:ind w:right="-90"/>
        <w:textAlignment w:val="baseline"/>
        <w:rPr>
          <w:rFonts w:cs="Arial"/>
        </w:rPr>
      </w:pPr>
    </w:p>
    <w:p w14:paraId="582B2F97" w14:textId="77777777" w:rsidR="000F78F1" w:rsidRDefault="000F78F1" w:rsidP="000F78F1">
      <w:pPr>
        <w:spacing w:after="0"/>
        <w:ind w:right="-90"/>
        <w:textAlignment w:val="baseline"/>
        <w:rPr>
          <w:rFonts w:cs="Arial"/>
        </w:rPr>
      </w:pPr>
    </w:p>
    <w:p w14:paraId="6B5C6DD2" w14:textId="77777777" w:rsidR="000F78F1" w:rsidRDefault="000F78F1" w:rsidP="000F78F1">
      <w:pPr>
        <w:spacing w:after="0"/>
        <w:ind w:right="-90"/>
        <w:textAlignment w:val="baseline"/>
        <w:rPr>
          <w:rFonts w:cs="Arial"/>
        </w:rPr>
      </w:pPr>
    </w:p>
    <w:p w14:paraId="6C4AA150" w14:textId="77777777" w:rsidR="000F78F1" w:rsidRDefault="000F78F1" w:rsidP="000F78F1">
      <w:pPr>
        <w:spacing w:after="0"/>
        <w:ind w:right="-90"/>
        <w:textAlignment w:val="baseline"/>
        <w:rPr>
          <w:rFonts w:cs="Arial"/>
        </w:rPr>
      </w:pPr>
    </w:p>
    <w:p w14:paraId="404B1B39" w14:textId="53EDFE89" w:rsidR="000F78F1" w:rsidRPr="000F78F1" w:rsidRDefault="000F78F1" w:rsidP="000F78F1">
      <w:pPr>
        <w:spacing w:after="0"/>
        <w:ind w:right="-90"/>
        <w:textAlignment w:val="baseline"/>
        <w:rPr>
          <w:rFonts w:eastAsia="Times New Roman" w:cs="Arial"/>
          <w:b/>
          <w:bCs/>
          <w:u w:val="single"/>
          <w:lang w:eastAsia="en-GB"/>
        </w:rPr>
      </w:pPr>
      <w:r w:rsidRPr="000F78F1">
        <w:rPr>
          <w:rFonts w:eastAsia="Times New Roman" w:cs="Arial"/>
          <w:b/>
          <w:bCs/>
          <w:u w:val="single"/>
          <w:lang w:eastAsia="en-GB"/>
        </w:rPr>
        <w:lastRenderedPageBreak/>
        <w:t>Adult Services – Forecast underspend £3.084m</w:t>
      </w:r>
    </w:p>
    <w:p w14:paraId="1C603BDE" w14:textId="77777777" w:rsidR="000F78F1" w:rsidRPr="000F78F1" w:rsidRDefault="000F78F1" w:rsidP="000F78F1">
      <w:pPr>
        <w:spacing w:after="0"/>
        <w:ind w:right="-90"/>
        <w:textAlignment w:val="baseline"/>
        <w:rPr>
          <w:rFonts w:eastAsia="Times New Roman" w:cs="Arial"/>
          <w:lang w:eastAsia="en-GB"/>
        </w:rPr>
      </w:pPr>
    </w:p>
    <w:p w14:paraId="32E5652D" w14:textId="77777777" w:rsidR="000F78F1" w:rsidRPr="000F78F1" w:rsidRDefault="000F78F1" w:rsidP="000F78F1">
      <w:pPr>
        <w:spacing w:after="0"/>
        <w:ind w:right="-90"/>
        <w:textAlignment w:val="baseline"/>
        <w:rPr>
          <w:rFonts w:ascii="Segoe UI" w:eastAsia="Times New Roman" w:hAnsi="Segoe UI" w:cs="Segoe UI"/>
          <w:sz w:val="18"/>
          <w:szCs w:val="18"/>
          <w:lang w:eastAsia="en-GB"/>
        </w:rPr>
      </w:pPr>
      <w:r w:rsidRPr="000F78F1">
        <w:rPr>
          <w:rFonts w:eastAsia="Times New Roman" w:cs="Arial"/>
          <w:lang w:eastAsia="en-GB"/>
        </w:rPr>
        <w:t>The total 2022/23 budget for Adult Services is net expenditure of £425.029m.  The forecasted outturn estimated as at the end of September 2022 is £421.945m resulting in an underspend of £3.084m equating to 0.73% of the total budget.  </w:t>
      </w:r>
    </w:p>
    <w:p w14:paraId="25674BA9" w14:textId="77777777" w:rsidR="000F78F1" w:rsidRPr="000F78F1" w:rsidRDefault="000F78F1" w:rsidP="000F78F1">
      <w:pPr>
        <w:spacing w:after="0"/>
        <w:ind w:right="-9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06CE63D8" w14:textId="77777777" w:rsidR="000F78F1" w:rsidRPr="000F78F1" w:rsidRDefault="000F78F1" w:rsidP="000F78F1">
      <w:pPr>
        <w:spacing w:after="0"/>
      </w:pPr>
      <w:r w:rsidRPr="000F78F1">
        <w:t xml:space="preserve">This position contains a mixture of both under and overspends, with the most significant pressure being the recently agreed pay award. As this pay award has been calculated on a flat rate per employee, the % uplift is greater for the grades that predominantly make up </w:t>
      </w:r>
      <w:proofErr w:type="gramStart"/>
      <w:r w:rsidRPr="000F78F1">
        <w:t>the majority of</w:t>
      </w:r>
      <w:proofErr w:type="gramEnd"/>
      <w:r w:rsidRPr="000F78F1">
        <w:t xml:space="preserve"> our care staff working in our care provider services and therefore the total pressure is significant at £5m. </w:t>
      </w:r>
    </w:p>
    <w:p w14:paraId="36D919F4" w14:textId="77777777" w:rsidR="000F78F1" w:rsidRPr="000F78F1" w:rsidRDefault="000F78F1" w:rsidP="000F78F1">
      <w:pPr>
        <w:spacing w:after="0"/>
      </w:pPr>
    </w:p>
    <w:p w14:paraId="41C5803B" w14:textId="77777777" w:rsidR="000F78F1" w:rsidRPr="000F78F1" w:rsidRDefault="000F78F1" w:rsidP="000F78F1">
      <w:pPr>
        <w:spacing w:after="0"/>
      </w:pPr>
      <w:r w:rsidRPr="000F78F1">
        <w:t xml:space="preserve">The largest source of the positive variance to budget has been the greater success in recovery of income. As part of the Quarter 2 monitoring position, there is a significant increase in the level of income received across services, as most notably agreement was reached on a Continuing Health Care and joint funding case which resulted in £4.6m being received by the County Council from the NHS. Further work is taking place to review how costs are more appropriately shared with the NHS, other partners and service users where this is applicable. </w:t>
      </w:r>
    </w:p>
    <w:p w14:paraId="50D52210" w14:textId="77777777" w:rsidR="000F78F1" w:rsidRPr="000F78F1" w:rsidRDefault="000F78F1" w:rsidP="000F78F1">
      <w:pPr>
        <w:spacing w:after="0"/>
      </w:pPr>
    </w:p>
    <w:p w14:paraId="1B88965B" w14:textId="77777777" w:rsidR="000F78F1" w:rsidRPr="000F78F1" w:rsidRDefault="000F78F1" w:rsidP="000F78F1">
      <w:pPr>
        <w:spacing w:after="0"/>
      </w:pPr>
      <w:r w:rsidRPr="000F78F1">
        <w:t xml:space="preserve">We are also mindful that our cost predictions include the costs we have incurred to date over the summer and early autumn period, however we are now moving into the winter period when referral levels can be higher due to seasonal issues exacerbating pre-existing conditions in our most vulnerable residents and often influenced by the response of the NHS, mainly hospitals. In addition, a pressure is anticipated (and forecast) as we go through the winter months, as grant funding has ceased in relation to service users awaiting discharge from hospital. </w:t>
      </w:r>
    </w:p>
    <w:p w14:paraId="61FCF307" w14:textId="77777777" w:rsidR="000F78F1" w:rsidRPr="000F78F1" w:rsidRDefault="000F78F1" w:rsidP="000F78F1">
      <w:pPr>
        <w:spacing w:after="0"/>
      </w:pPr>
    </w:p>
    <w:p w14:paraId="400448CE" w14:textId="77777777" w:rsidR="000F78F1" w:rsidRPr="000F78F1" w:rsidRDefault="000F78F1" w:rsidP="000F78F1">
      <w:pPr>
        <w:spacing w:after="0"/>
      </w:pPr>
      <w:r w:rsidRPr="000F78F1">
        <w:t xml:space="preserve">There are </w:t>
      </w:r>
      <w:proofErr w:type="gramStart"/>
      <w:r w:rsidRPr="000F78F1">
        <w:t>a number of</w:t>
      </w:r>
      <w:proofErr w:type="gramEnd"/>
      <w:r w:rsidRPr="000F78F1">
        <w:t xml:space="preserve"> factors driving the costs within adult social care, some within our ability to control and some now starting to impact which are increasingly more difficult to influence. As noted below, staffing shortages due to recruitment and retention difficulties and high sickness levels across all services increases the reliance on agency workers and results in higher overall costs.  We have recently agreed a directorate Workforce Strategy that will start to address such issues.  In some service areas we are unable to use our framework providers, again mainly due to staffing pressures, which again increases costs as we turn to off framework providers which are at higher cost.  We are embarking on a significant re-procurement exercise for our homecare framework and will be seeking to address this.  General price and cost of living pressures are impacting on many of our providers.  The Cost of Care (see below) exercise may address some of these issues but depending on the level of government grant funding this could further add to overall cost pressures. </w:t>
      </w:r>
    </w:p>
    <w:p w14:paraId="7F69EAF0" w14:textId="77777777" w:rsidR="000F78F1" w:rsidRPr="000F78F1" w:rsidRDefault="000F78F1" w:rsidP="000F78F1">
      <w:pPr>
        <w:spacing w:after="0"/>
        <w:rPr>
          <w:highlight w:val="yellow"/>
        </w:rPr>
      </w:pPr>
    </w:p>
    <w:p w14:paraId="1D66ECCE" w14:textId="77777777" w:rsidR="000F78F1" w:rsidRPr="000F78F1" w:rsidRDefault="000F78F1" w:rsidP="000F78F1">
      <w:pPr>
        <w:spacing w:after="0"/>
        <w:rPr>
          <w:b/>
          <w:bCs/>
        </w:rPr>
      </w:pPr>
      <w:r w:rsidRPr="000F78F1">
        <w:rPr>
          <w:b/>
          <w:bCs/>
        </w:rPr>
        <w:t>Savings progress</w:t>
      </w:r>
    </w:p>
    <w:p w14:paraId="109758CE" w14:textId="3FB6E8A7" w:rsidR="000F78F1" w:rsidRPr="000F78F1" w:rsidRDefault="000F78F1" w:rsidP="000F78F1">
      <w:pPr>
        <w:spacing w:after="0"/>
      </w:pPr>
      <w:r w:rsidRPr="000F78F1">
        <w:t xml:space="preserve">Controllable costs include the delivery of pre-existing savings which have been unavoidably delayed due to the prioritisation of the </w:t>
      </w:r>
      <w:r w:rsidR="0082471E">
        <w:t>D</w:t>
      </w:r>
      <w:r w:rsidRPr="000F78F1">
        <w:t xml:space="preserve">irectorate's response to covid of which there are still ongoing issues especially for those living and working in care settings. The Directorate has a governance framework in place to ensure rigour and grip </w:t>
      </w:r>
      <w:r w:rsidR="00AA7F2A">
        <w:t>of</w:t>
      </w:r>
      <w:r w:rsidRPr="000F78F1">
        <w:t xml:space="preserve"> the delivery of the £17m savings outstanding with £10.9m due to be delivered within this financial year. The forecast assumption at this stage is that 39% will be </w:t>
      </w:r>
      <w:r w:rsidRPr="000F78F1">
        <w:lastRenderedPageBreak/>
        <w:t xml:space="preserve">delivered in this financial year, with plans in place to deliver the remaining 61%. In some instances, COVID-19 has exposed changes that are now required to some of the previously agreed </w:t>
      </w:r>
      <w:proofErr w:type="gramStart"/>
      <w:r w:rsidRPr="000F78F1">
        <w:t>savings</w:t>
      </w:r>
      <w:proofErr w:type="gramEnd"/>
      <w:r w:rsidRPr="000F78F1">
        <w:t xml:space="preserve"> programme to ensure that adult services can deliver to its original target. </w:t>
      </w:r>
    </w:p>
    <w:p w14:paraId="193692A2" w14:textId="77777777" w:rsidR="000F78F1" w:rsidRPr="000F78F1" w:rsidRDefault="000F78F1" w:rsidP="000F78F1">
      <w:pPr>
        <w:spacing w:after="0"/>
      </w:pPr>
    </w:p>
    <w:p w14:paraId="5DA40261" w14:textId="77777777" w:rsidR="000F78F1" w:rsidRPr="000F78F1" w:rsidRDefault="000F78F1" w:rsidP="000F78F1">
      <w:pPr>
        <w:spacing w:after="0"/>
      </w:pPr>
      <w:r w:rsidRPr="000F78F1">
        <w:t xml:space="preserve">Through reviewing service budgets and processes the service has put forward c£50m of additional savings to be delivered from 2023/24, subject to approval at Full Council in February. The savings have been identified and will be delivered against a background of challenge for the service of growing needs of an ageing and increasingly disabled (physical and emotional) adult population as identified by our Director of Public Health in his annual report and the precarious nature of the care market. </w:t>
      </w:r>
    </w:p>
    <w:p w14:paraId="77FC1F8C" w14:textId="77777777" w:rsidR="000F78F1" w:rsidRPr="000F78F1" w:rsidRDefault="000F78F1" w:rsidP="000F78F1">
      <w:pPr>
        <w:spacing w:after="0"/>
      </w:pPr>
    </w:p>
    <w:p w14:paraId="1E5335AC" w14:textId="77777777" w:rsidR="000F78F1" w:rsidRPr="000F78F1" w:rsidRDefault="000F78F1" w:rsidP="000F78F1">
      <w:pPr>
        <w:spacing w:after="0"/>
        <w:rPr>
          <w:b/>
          <w:bCs/>
        </w:rPr>
      </w:pPr>
      <w:r w:rsidRPr="000F78F1">
        <w:rPr>
          <w:b/>
          <w:bCs/>
        </w:rPr>
        <w:t>Pressure areas</w:t>
      </w:r>
    </w:p>
    <w:p w14:paraId="793ECC0A" w14:textId="77777777" w:rsidR="000F78F1" w:rsidRPr="000F78F1" w:rsidRDefault="000F78F1" w:rsidP="000F78F1">
      <w:pPr>
        <w:spacing w:after="0"/>
      </w:pPr>
      <w:r w:rsidRPr="000F78F1">
        <w:t xml:space="preserve">Other controllable costs include the spend associated with our response to adults approaching the council for advice and support. Benchmarking data continues to show that when compared to other similar authorities we support a larger proportion of people and with higher packages of care. Authorities that perform better typically have a stronger preventative offer and make greater use of community provision as an alternative to formal packages of care.  This has a benefit for the person as they can make better use of services based close to where they live, improving their ability to live independently at home, and reduces costs for the Council as </w:t>
      </w:r>
      <w:proofErr w:type="gramStart"/>
      <w:r w:rsidRPr="000F78F1">
        <w:t>community based</w:t>
      </w:r>
      <w:proofErr w:type="gramEnd"/>
      <w:r w:rsidRPr="000F78F1">
        <w:t xml:space="preserve"> provision tends to be less costly than formal care. The directorate had already agreed to progress a programme of change to bring us closer to some of what other councils have done on this, underpinned by a strengths-based practice approach. Unfortunately, this had been delayed due to COVID-19 but is now recommencing with closer monitoring. A key component of the change is to increase the uptake in direct payments as this affords the public a greater level of choice and control of how they manage and receive care.</w:t>
      </w:r>
    </w:p>
    <w:p w14:paraId="7926A38D" w14:textId="77777777" w:rsidR="000F78F1" w:rsidRPr="000F78F1" w:rsidRDefault="000F78F1" w:rsidP="000F78F1">
      <w:pPr>
        <w:spacing w:after="0"/>
      </w:pPr>
    </w:p>
    <w:p w14:paraId="5A5D453E" w14:textId="77777777" w:rsidR="000F78F1" w:rsidRPr="000F78F1" w:rsidRDefault="000F78F1" w:rsidP="000F78F1">
      <w:pPr>
        <w:spacing w:after="0"/>
        <w:rPr>
          <w:b/>
          <w:bCs/>
        </w:rPr>
      </w:pPr>
      <w:r w:rsidRPr="000F78F1">
        <w:rPr>
          <w:b/>
          <w:bCs/>
        </w:rPr>
        <w:t xml:space="preserve">Legislative Changes </w:t>
      </w:r>
    </w:p>
    <w:p w14:paraId="47364074" w14:textId="77777777" w:rsidR="000F78F1" w:rsidRPr="000F78F1" w:rsidRDefault="000F78F1" w:rsidP="000F78F1">
      <w:pPr>
        <w:spacing w:after="0"/>
      </w:pPr>
      <w:r w:rsidRPr="000F78F1">
        <w:t>Issues impacting on the budget which are increasingly difficult to control/manage include the Fair Cost of Care, an exercise all authorities are required to complete in readiness for social care reform in 2023. This is highly likely to illustrate that councils are not funding to a level acceptable to the care market impeding market sustainability. The next steps in the process are for feedback to be received on our evaluation and information provided as to the next steps in terms of the proposed reforms due to take effect from next year. As an Authority we have assumed that the funding provided will cover any extra cost pressures associated with the changes.</w:t>
      </w:r>
    </w:p>
    <w:p w14:paraId="07536F52" w14:textId="77777777" w:rsidR="000F78F1" w:rsidRPr="000F78F1" w:rsidRDefault="000F78F1" w:rsidP="000F78F1">
      <w:pPr>
        <w:spacing w:after="0"/>
      </w:pPr>
    </w:p>
    <w:p w14:paraId="26E253B7" w14:textId="77777777" w:rsidR="000F78F1" w:rsidRPr="000F78F1" w:rsidRDefault="000F78F1" w:rsidP="000F78F1">
      <w:pPr>
        <w:rPr>
          <w:b/>
          <w:bCs/>
        </w:rPr>
      </w:pPr>
      <w:r w:rsidRPr="000F78F1">
        <w:rPr>
          <w:b/>
          <w:bCs/>
        </w:rPr>
        <w:t xml:space="preserve">Older People services </w:t>
      </w:r>
    </w:p>
    <w:p w14:paraId="53B24C6D" w14:textId="7FF547FA" w:rsidR="000F78F1" w:rsidRPr="000F78F1" w:rsidRDefault="000F78F1" w:rsidP="000F78F1">
      <w:pPr>
        <w:spacing w:after="0"/>
        <w:rPr>
          <w:highlight w:val="yellow"/>
        </w:rPr>
      </w:pPr>
      <w:r w:rsidRPr="000F78F1">
        <w:t xml:space="preserve">The council continues to experience challenge in securing care in some parts of the county due to rurality for example and some types of care i.e., nursing home provision for elderly mentally ill. </w:t>
      </w:r>
      <w:proofErr w:type="gramStart"/>
      <w:r w:rsidRPr="000F78F1">
        <w:t>As a consequence</w:t>
      </w:r>
      <w:proofErr w:type="gramEnd"/>
      <w:r w:rsidRPr="000F78F1">
        <w:t xml:space="preserve">, budget pressures are being experienced primarily in the cost of home care for all adults including older people and those with mental health or learning disability. We are also being approached to meet the increasing costs from providers arising due to increases in fuel and energy costs and expect to be under considerable pressure from the market to provide additional financial support. In some instances, due to staffing problems and cost pressures homecare providers are declining our business resulting in our reliance on </w:t>
      </w:r>
      <w:r w:rsidRPr="000F78F1">
        <w:lastRenderedPageBreak/>
        <w:t>non-</w:t>
      </w:r>
      <w:r w:rsidRPr="00AA7F2A">
        <w:t xml:space="preserve">framework higher cost provision. The increased cost pressures across the directorate are over </w:t>
      </w:r>
      <w:r w:rsidRPr="00AA7F2A">
        <w:rPr>
          <w:b/>
        </w:rPr>
        <w:t>£</w:t>
      </w:r>
      <w:r w:rsidR="007F3073">
        <w:rPr>
          <w:b/>
        </w:rPr>
        <w:t>5</w:t>
      </w:r>
      <w:r w:rsidRPr="00AA7F2A">
        <w:rPr>
          <w:b/>
        </w:rPr>
        <w:t>.0m</w:t>
      </w:r>
      <w:r w:rsidRPr="00AA7F2A">
        <w:t xml:space="preserve"> in this</w:t>
      </w:r>
      <w:r w:rsidRPr="000F78F1">
        <w:t xml:space="preserve"> financial year. </w:t>
      </w:r>
    </w:p>
    <w:p w14:paraId="7A2ACD3B" w14:textId="77777777" w:rsidR="000F78F1" w:rsidRPr="000F78F1" w:rsidRDefault="000F78F1" w:rsidP="000F78F1">
      <w:pPr>
        <w:spacing w:after="0"/>
        <w:rPr>
          <w:highlight w:val="yellow"/>
        </w:rPr>
      </w:pPr>
    </w:p>
    <w:p w14:paraId="57105641" w14:textId="77777777" w:rsidR="000F78F1" w:rsidRPr="000F78F1" w:rsidRDefault="000F78F1" w:rsidP="000F78F1">
      <w:pPr>
        <w:spacing w:after="0"/>
        <w:rPr>
          <w:b/>
          <w:bCs/>
        </w:rPr>
      </w:pPr>
      <w:r w:rsidRPr="000F78F1">
        <w:rPr>
          <w:b/>
          <w:bCs/>
        </w:rPr>
        <w:t>Younger Adults specific needs groups</w:t>
      </w:r>
    </w:p>
    <w:p w14:paraId="28C9E557" w14:textId="02FA3D0F" w:rsidR="000F78F1" w:rsidRPr="000F78F1" w:rsidRDefault="000F78F1" w:rsidP="000F78F1">
      <w:pPr>
        <w:spacing w:after="0"/>
        <w:rPr>
          <w:rFonts w:cs="Arial"/>
        </w:rPr>
      </w:pPr>
      <w:r w:rsidRPr="000F78F1">
        <w:rPr>
          <w:rFonts w:cs="Arial"/>
        </w:rPr>
        <w:t xml:space="preserve">The directorate is also facing significant increases in the numbers of young adults now transferring from children services with forecast costs £1.7m over budget at this stage and will in almost all circumstances be lifelong. We recognise more detailed analysis is required and requires a step change in the way the 2 directorates work together and with families and young people. There are increasing cost pressures within Children's services which are now impacting on Adult's services as the young people attain the age of 18 to 25 and transition over. This area has been included within the saving proposals put forward by the Directorate and includes additional staff within </w:t>
      </w:r>
      <w:proofErr w:type="gramStart"/>
      <w:r w:rsidRPr="000F78F1">
        <w:rPr>
          <w:rFonts w:cs="Arial"/>
        </w:rPr>
        <w:t>Adult</w:t>
      </w:r>
      <w:proofErr w:type="gramEnd"/>
      <w:r w:rsidRPr="000F78F1">
        <w:rPr>
          <w:rFonts w:cs="Arial"/>
        </w:rPr>
        <w:t xml:space="preserve"> services who can work with young people and their families well in advance of the young person turning 18 to plan, source, or develop with the market, the right care in the right place, to be ready at the right time.</w:t>
      </w:r>
    </w:p>
    <w:p w14:paraId="646FF965" w14:textId="77777777" w:rsidR="000F78F1" w:rsidRPr="000F78F1" w:rsidRDefault="000F78F1" w:rsidP="000F78F1">
      <w:pPr>
        <w:spacing w:after="0"/>
        <w:rPr>
          <w:rFonts w:cs="Arial"/>
        </w:rPr>
      </w:pPr>
    </w:p>
    <w:p w14:paraId="36BF79C6" w14:textId="77777777" w:rsidR="000F78F1" w:rsidRPr="000F78F1" w:rsidRDefault="000F78F1" w:rsidP="000F78F1">
      <w:pPr>
        <w:spacing w:after="0"/>
        <w:rPr>
          <w:rFonts w:cs="Arial"/>
          <w:b/>
          <w:bCs/>
        </w:rPr>
      </w:pPr>
      <w:r w:rsidRPr="000F78F1">
        <w:rPr>
          <w:rFonts w:cs="Arial"/>
          <w:b/>
          <w:bCs/>
        </w:rPr>
        <w:t>In-House provision</w:t>
      </w:r>
    </w:p>
    <w:p w14:paraId="6AAF71DA" w14:textId="77777777" w:rsidR="000F78F1" w:rsidRPr="000F78F1" w:rsidRDefault="000F78F1" w:rsidP="000F78F1">
      <w:pPr>
        <w:spacing w:after="0"/>
        <w:rPr>
          <w:rFonts w:cs="Arial"/>
          <w:b/>
          <w:bCs/>
          <w:highlight w:val="yellow"/>
        </w:rPr>
      </w:pPr>
      <w:r w:rsidRPr="000F78F1">
        <w:rPr>
          <w:rFonts w:cs="Arial"/>
        </w:rPr>
        <w:t xml:space="preserve">The largest pressures that are forecast across the Directorate relate to in-house services, and most noticeably in the older peoples care homes. There are </w:t>
      </w:r>
      <w:proofErr w:type="gramStart"/>
      <w:r w:rsidRPr="000F78F1">
        <w:rPr>
          <w:rFonts w:cs="Arial"/>
        </w:rPr>
        <w:t>particular pressures</w:t>
      </w:r>
      <w:proofErr w:type="gramEnd"/>
      <w:r w:rsidRPr="000F78F1">
        <w:rPr>
          <w:rFonts w:cs="Arial"/>
        </w:rPr>
        <w:t xml:space="preserve"> in relation to staff costs, both in terms of the pay award (£3.9m) and also the necessity to employ agency workers to cover for staff absence. In addition, occupancy levels have not recovered post-</w:t>
      </w:r>
      <w:proofErr w:type="gramStart"/>
      <w:r w:rsidRPr="000F78F1">
        <w:rPr>
          <w:rFonts w:cs="Arial"/>
        </w:rPr>
        <w:t>pandemic</w:t>
      </w:r>
      <w:proofErr w:type="gramEnd"/>
      <w:r w:rsidRPr="000F78F1">
        <w:rPr>
          <w:rFonts w:cs="Arial"/>
        </w:rPr>
        <w:t xml:space="preserve"> and this is having a detrimental impact on income levels forecast to be achieved by the service (£2.5m).  </w:t>
      </w:r>
    </w:p>
    <w:p w14:paraId="67AF98A0" w14:textId="77777777" w:rsidR="000F78F1" w:rsidRPr="000F78F1" w:rsidRDefault="000F78F1" w:rsidP="000F78F1">
      <w:pPr>
        <w:spacing w:after="0"/>
        <w:rPr>
          <w:rFonts w:cs="Arial"/>
          <w:highlight w:val="yellow"/>
        </w:rPr>
      </w:pPr>
    </w:p>
    <w:p w14:paraId="567F298F" w14:textId="77777777" w:rsidR="000F78F1" w:rsidRPr="000F78F1" w:rsidRDefault="000F78F1" w:rsidP="000F78F1">
      <w:pPr>
        <w:spacing w:after="0"/>
        <w:rPr>
          <w:rFonts w:cs="Arial"/>
        </w:rPr>
      </w:pPr>
      <w:r w:rsidRPr="000F78F1">
        <w:rPr>
          <w:rFonts w:cs="Arial"/>
          <w:b/>
          <w:bCs/>
        </w:rPr>
        <w:t>Income generation</w:t>
      </w:r>
    </w:p>
    <w:p w14:paraId="676A4151" w14:textId="3DF00172" w:rsidR="000F78F1" w:rsidRPr="000F78F1" w:rsidRDefault="000F78F1" w:rsidP="000F78F1">
      <w:pPr>
        <w:spacing w:after="0"/>
        <w:rPr>
          <w:rFonts w:cs="Arial"/>
        </w:rPr>
      </w:pPr>
      <w:r w:rsidRPr="000F78F1">
        <w:rPr>
          <w:rFonts w:cs="Arial"/>
        </w:rPr>
        <w:t>The ability at this point to report an underspend as a Directorate is largely due to one</w:t>
      </w:r>
      <w:r w:rsidR="0082471E">
        <w:rPr>
          <w:rFonts w:cs="Arial"/>
        </w:rPr>
        <w:t>-</w:t>
      </w:r>
      <w:r w:rsidRPr="000F78F1">
        <w:rPr>
          <w:rFonts w:cs="Arial"/>
        </w:rPr>
        <w:t>off income recovery through sharing costs more equitably with the NHS for example on ensuring obligations are met toward Continuing Health Care.  Work continues with the NHS to achieve better value for money by working together and where appropriate to pool budgets. As mentioned earlier in the report, at Quarter 2 there have been increases in income from a variety of sources, joint funding from the NHS, service user income and direct payment clawback. This will continue to be monitored and reported in future reports and forms part of next year's savings proposals as there is more work to do.</w:t>
      </w:r>
    </w:p>
    <w:p w14:paraId="7258AF9E"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4F562F84" w14:textId="77777777" w:rsidR="000F78F1" w:rsidRPr="000F78F1" w:rsidRDefault="000F78F1" w:rsidP="000F78F1">
      <w:pPr>
        <w:spacing w:after="0"/>
        <w:rPr>
          <w:rFonts w:cs="Arial"/>
          <w:b/>
          <w:u w:val="single"/>
        </w:rPr>
      </w:pPr>
      <w:r w:rsidRPr="000F78F1">
        <w:rPr>
          <w:rFonts w:cs="Arial"/>
          <w:b/>
          <w:u w:val="single"/>
        </w:rPr>
        <w:t xml:space="preserve">Public Health &amp; Wellbeing  </w:t>
      </w:r>
    </w:p>
    <w:p w14:paraId="3869C32E" w14:textId="77777777" w:rsidR="000F78F1" w:rsidRPr="000F78F1" w:rsidRDefault="000F78F1" w:rsidP="000F78F1">
      <w:pPr>
        <w:spacing w:after="0"/>
        <w:rPr>
          <w:rFonts w:cs="Arial"/>
          <w:b/>
        </w:rPr>
      </w:pPr>
    </w:p>
    <w:p w14:paraId="4C718896"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The total budget for Public Health &amp; Wellbeing Services in 2022/23 is a net income budget of (£3.792m) as it includes the ring-fenced Public Health Grant of £72.216m. The overall directorate is forecasting an overspend at Quarter 2 of £0.035m.  </w:t>
      </w:r>
    </w:p>
    <w:p w14:paraId="3A91CA45"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06098280"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As the Public Health Grant is ring-fenced any underspend on those services covered by the grant occurring in year will be transferred to the Public Health Grant Reserve to be re-invested into the service such as the Transformation Programme currently being developed and implemented. </w:t>
      </w:r>
    </w:p>
    <w:p w14:paraId="35E01C47" w14:textId="77777777" w:rsidR="000F78F1" w:rsidRPr="000F78F1" w:rsidRDefault="000F78F1" w:rsidP="000F78F1">
      <w:pPr>
        <w:spacing w:after="0"/>
        <w:textAlignment w:val="baseline"/>
        <w:rPr>
          <w:rFonts w:eastAsia="Times New Roman" w:cs="Arial"/>
          <w:lang w:eastAsia="en-GB"/>
        </w:rPr>
      </w:pPr>
    </w:p>
    <w:p w14:paraId="71A996F9" w14:textId="522D0A98"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The service has had to work in a very different way during the last two years to deliver the successful response to the demands of the pandemic in Lancashire with the change in approach leading to growth in the Public Health Grant Reserve balance.</w:t>
      </w:r>
      <w:r w:rsidR="0082471E">
        <w:rPr>
          <w:rFonts w:eastAsia="Times New Roman" w:cs="Arial"/>
          <w:lang w:eastAsia="en-GB"/>
        </w:rPr>
        <w:t xml:space="preserve"> </w:t>
      </w:r>
      <w:r w:rsidRPr="000F78F1">
        <w:rPr>
          <w:rFonts w:eastAsia="Times New Roman" w:cs="Arial"/>
          <w:lang w:eastAsia="en-GB"/>
        </w:rPr>
        <w:t xml:space="preserve">This fund is now available, not only to support transforming the Public </w:t>
      </w:r>
      <w:r w:rsidRPr="000F78F1">
        <w:rPr>
          <w:rFonts w:eastAsia="Times New Roman" w:cs="Arial"/>
          <w:lang w:eastAsia="en-GB"/>
        </w:rPr>
        <w:lastRenderedPageBreak/>
        <w:t>Health service, but also to investment into services across the Council that will have a positive impact on public health</w:t>
      </w:r>
      <w:r w:rsidR="0082471E">
        <w:rPr>
          <w:rFonts w:eastAsia="Times New Roman" w:cs="Arial"/>
          <w:lang w:eastAsia="en-GB"/>
        </w:rPr>
        <w:t xml:space="preserve">. </w:t>
      </w:r>
      <w:r w:rsidRPr="000F78F1">
        <w:rPr>
          <w:rFonts w:eastAsia="Times New Roman" w:cs="Arial"/>
          <w:lang w:eastAsia="en-GB"/>
        </w:rPr>
        <w:t xml:space="preserve">A proposal totalling £14m has already been included in the recent Cabinet </w:t>
      </w:r>
      <w:r w:rsidR="0082471E">
        <w:rPr>
          <w:rFonts w:eastAsia="Times New Roman" w:cs="Arial"/>
          <w:lang w:eastAsia="en-GB"/>
        </w:rPr>
        <w:t>b</w:t>
      </w:r>
      <w:r w:rsidRPr="000F78F1">
        <w:rPr>
          <w:rFonts w:eastAsia="Times New Roman" w:cs="Arial"/>
          <w:lang w:eastAsia="en-GB"/>
        </w:rPr>
        <w:t>udget report.</w:t>
      </w:r>
    </w:p>
    <w:p w14:paraId="1211BDBB" w14:textId="77777777" w:rsidR="000F78F1" w:rsidRPr="000F78F1" w:rsidRDefault="000F78F1" w:rsidP="000F78F1">
      <w:pPr>
        <w:spacing w:after="0"/>
        <w:textAlignment w:val="baseline"/>
        <w:rPr>
          <w:rFonts w:eastAsia="Times New Roman" w:cs="Arial"/>
          <w:lang w:eastAsia="en-GB"/>
        </w:rPr>
      </w:pPr>
    </w:p>
    <w:p w14:paraId="4DA8585E"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Finance Outlook Beyond 2022/23</w:t>
      </w:r>
      <w:r w:rsidRPr="000F78F1">
        <w:rPr>
          <w:rFonts w:eastAsia="Times New Roman" w:cs="Arial"/>
          <w:lang w:eastAsia="en-GB"/>
        </w:rPr>
        <w:t> </w:t>
      </w:r>
    </w:p>
    <w:p w14:paraId="4E52F925"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Any underspends within the service are</w:t>
      </w:r>
      <w:bookmarkStart w:id="9" w:name="_Int_RM4Y0lrb"/>
      <w:r w:rsidRPr="000F78F1">
        <w:rPr>
          <w:rFonts w:eastAsia="Times New Roman" w:cs="Arial"/>
          <w:lang w:eastAsia="en-GB"/>
        </w:rPr>
        <w:t xml:space="preserve"> mainly due</w:t>
      </w:r>
      <w:bookmarkEnd w:id="9"/>
      <w:r w:rsidRPr="000F78F1">
        <w:rPr>
          <w:rFonts w:eastAsia="Times New Roman" w:cs="Arial"/>
          <w:lang w:eastAsia="en-GB"/>
        </w:rPr>
        <w:t xml:space="preserve"> to service and project delays due to the pandemic and continued COVID-19 infections and outbreaks across Lancashire together with staff working on COVID-19 contain management which has been funded by grant.  Despite the level of forecast underspend in 2022/23, the current high rates of inflation will have a material impact on the cost of commissioned services </w:t>
      </w:r>
      <w:bookmarkStart w:id="10" w:name="_Int_L9I8tARe"/>
      <w:proofErr w:type="gramStart"/>
      <w:r w:rsidRPr="000F78F1">
        <w:rPr>
          <w:rFonts w:eastAsia="Times New Roman" w:cs="Arial"/>
          <w:lang w:eastAsia="en-GB"/>
        </w:rPr>
        <w:t>and also</w:t>
      </w:r>
      <w:bookmarkEnd w:id="10"/>
      <w:proofErr w:type="gramEnd"/>
      <w:r w:rsidRPr="000F78F1">
        <w:rPr>
          <w:rFonts w:eastAsia="Times New Roman" w:cs="Arial"/>
          <w:lang w:eastAsia="en-GB"/>
        </w:rPr>
        <w:t xml:space="preserve"> internal costs from 2022/23 onwards.  </w:t>
      </w:r>
    </w:p>
    <w:p w14:paraId="602CE8F7" w14:textId="77777777" w:rsidR="000F78F1" w:rsidRPr="000F78F1" w:rsidRDefault="000F78F1" w:rsidP="000F78F1">
      <w:pPr>
        <w:spacing w:after="0"/>
        <w:textAlignment w:val="baseline"/>
        <w:rPr>
          <w:rFonts w:ascii="Segoe UI" w:eastAsia="Times New Roman" w:hAnsi="Segoe UI" w:cs="Segoe UI"/>
          <w:sz w:val="18"/>
          <w:szCs w:val="18"/>
          <w:lang w:eastAsia="en-GB"/>
        </w:rPr>
      </w:pPr>
    </w:p>
    <w:p w14:paraId="35F2347B"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Public Health and Wellbeing</w:t>
      </w:r>
      <w:r w:rsidRPr="000F78F1">
        <w:rPr>
          <w:rFonts w:eastAsia="Times New Roman" w:cs="Arial"/>
          <w:lang w:eastAsia="en-GB"/>
        </w:rPr>
        <w:t> </w:t>
      </w:r>
    </w:p>
    <w:p w14:paraId="27D429FA" w14:textId="127015FA"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The Public Health and Wellbeing budget is forecast to end the year underspent as the Contained Outbreak Management Fund (COMF) monies will be used to meet employee cost as appropriate. As per previous years, the </w:t>
      </w:r>
      <w:r w:rsidR="007A02ED">
        <w:rPr>
          <w:rFonts w:eastAsia="Times New Roman" w:cs="Arial"/>
          <w:lang w:eastAsia="en-GB"/>
        </w:rPr>
        <w:t>c</w:t>
      </w:r>
      <w:r w:rsidRPr="000F78F1">
        <w:rPr>
          <w:rFonts w:eastAsia="Times New Roman" w:cs="Arial"/>
          <w:lang w:eastAsia="en-GB"/>
        </w:rPr>
        <w:t xml:space="preserve">ost </w:t>
      </w:r>
      <w:r w:rsidR="007A02ED">
        <w:rPr>
          <w:rFonts w:eastAsia="Times New Roman" w:cs="Arial"/>
          <w:lang w:eastAsia="en-GB"/>
        </w:rPr>
        <w:t>ce</w:t>
      </w:r>
      <w:r w:rsidRPr="000F78F1">
        <w:rPr>
          <w:rFonts w:eastAsia="Times New Roman" w:cs="Arial"/>
          <w:lang w:eastAsia="en-GB"/>
        </w:rPr>
        <w:t>ntre shows a breakeven position as all unspent Public Health Grant will be transferred into the reserve.   </w:t>
      </w:r>
    </w:p>
    <w:p w14:paraId="115B26C0"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color w:val="FF0000"/>
          <w:lang w:eastAsia="en-GB"/>
        </w:rPr>
        <w:t> </w:t>
      </w:r>
    </w:p>
    <w:p w14:paraId="70EA5FCD"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Health Equity, Welfare &amp; Partnership</w:t>
      </w:r>
    </w:p>
    <w:p w14:paraId="6A6A2352"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A small underspend is reported for the service, please note that this includes a contribution to the Public Health Grant Reserve of c£3m for areas within the Health Equity, Welfare &amp; Partnership service that are expected to underspend by the end of the year.  </w:t>
      </w:r>
    </w:p>
    <w:p w14:paraId="390071FC" w14:textId="74373278" w:rsidR="000F78F1" w:rsidRPr="000F78F1" w:rsidRDefault="000F78F1" w:rsidP="000F78F1">
      <w:pPr>
        <w:spacing w:after="0"/>
        <w:textAlignment w:val="baseline"/>
        <w:rPr>
          <w:rFonts w:ascii="Segoe UI" w:eastAsia="Times New Roman" w:hAnsi="Segoe UI" w:cs="Segoe UI"/>
          <w:sz w:val="18"/>
          <w:szCs w:val="18"/>
          <w:lang w:eastAsia="en-GB"/>
        </w:rPr>
      </w:pPr>
    </w:p>
    <w:p w14:paraId="61218FDC"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Health, Safety &amp; Resilience</w:t>
      </w:r>
      <w:r w:rsidRPr="000F78F1">
        <w:rPr>
          <w:rFonts w:eastAsia="Times New Roman" w:cs="Arial"/>
          <w:lang w:eastAsia="en-GB"/>
        </w:rPr>
        <w:t> </w:t>
      </w:r>
    </w:p>
    <w:p w14:paraId="5F98D76B"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The forecast outturn position for 2022/23 is an underspend of £0.282m due to underspends forecast on staffing and service costs.  </w:t>
      </w:r>
    </w:p>
    <w:p w14:paraId="058CFE50"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0D04FFC2"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Trading Standards &amp; Scientific Services</w:t>
      </w:r>
      <w:r w:rsidRPr="000F78F1">
        <w:rPr>
          <w:rFonts w:eastAsia="Times New Roman" w:cs="Arial"/>
          <w:lang w:eastAsia="en-GB"/>
        </w:rPr>
        <w:t> </w:t>
      </w:r>
    </w:p>
    <w:p w14:paraId="13D46DE7"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Trading Standards &amp; Scientific Services forecasted year end position is an overspend of £0.333m due to pressures on income and staffing budgets. Some of the pressures experienced by the service are recurrent and will need to be addressed with changes made to ensure that the service operates within its agreed budget envelope. </w:t>
      </w:r>
    </w:p>
    <w:bookmarkEnd w:id="8"/>
    <w:p w14:paraId="5788E1C7"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394A653D"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761A95BF"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74EFB040"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2A498ECC"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62F7F236"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D13F41B"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61889EA0"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13A52C4"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4585FF98"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40AB549E"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07DA088B"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286797D"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0BEF84B5"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3D088B83" w14:textId="7D34EC8E" w:rsidR="000F78F1" w:rsidRDefault="000F78F1" w:rsidP="000F78F1">
      <w:pPr>
        <w:spacing w:after="0"/>
        <w:textAlignment w:val="baseline"/>
        <w:rPr>
          <w:rFonts w:ascii="Segoe UI" w:eastAsia="Times New Roman" w:hAnsi="Segoe UI" w:cs="Segoe UI"/>
          <w:sz w:val="18"/>
          <w:szCs w:val="18"/>
          <w:highlight w:val="yellow"/>
          <w:lang w:eastAsia="en-GB"/>
        </w:rPr>
      </w:pPr>
    </w:p>
    <w:p w14:paraId="726410AC" w14:textId="7107DB07" w:rsidR="000F78F1" w:rsidRDefault="000F78F1" w:rsidP="000F78F1">
      <w:pPr>
        <w:spacing w:after="0"/>
        <w:textAlignment w:val="baseline"/>
        <w:rPr>
          <w:rFonts w:ascii="Segoe UI" w:eastAsia="Times New Roman" w:hAnsi="Segoe UI" w:cs="Segoe UI"/>
          <w:sz w:val="18"/>
          <w:szCs w:val="18"/>
          <w:highlight w:val="yellow"/>
          <w:lang w:eastAsia="en-GB"/>
        </w:rPr>
      </w:pPr>
    </w:p>
    <w:p w14:paraId="556A991F" w14:textId="75812495" w:rsidR="007A02ED" w:rsidRDefault="007A02ED" w:rsidP="000F78F1">
      <w:pPr>
        <w:spacing w:after="0"/>
        <w:textAlignment w:val="baseline"/>
        <w:rPr>
          <w:rFonts w:ascii="Segoe UI" w:eastAsia="Times New Roman" w:hAnsi="Segoe UI" w:cs="Segoe UI"/>
          <w:sz w:val="18"/>
          <w:szCs w:val="18"/>
          <w:highlight w:val="yellow"/>
          <w:lang w:eastAsia="en-GB"/>
        </w:rPr>
      </w:pPr>
    </w:p>
    <w:p w14:paraId="76655EAA" w14:textId="77777777" w:rsidR="007A02ED" w:rsidRPr="000F78F1" w:rsidRDefault="007A02ED" w:rsidP="000F78F1">
      <w:pPr>
        <w:spacing w:after="0"/>
        <w:textAlignment w:val="baseline"/>
        <w:rPr>
          <w:rFonts w:ascii="Segoe UI" w:eastAsia="Times New Roman" w:hAnsi="Segoe UI" w:cs="Segoe UI"/>
          <w:sz w:val="18"/>
          <w:szCs w:val="18"/>
          <w:highlight w:val="yellow"/>
          <w:lang w:eastAsia="en-GB"/>
        </w:rPr>
      </w:pPr>
    </w:p>
    <w:p w14:paraId="0BDD0512" w14:textId="77777777" w:rsidR="000F78F1" w:rsidRPr="000F78F1" w:rsidRDefault="000F78F1" w:rsidP="000F78F1">
      <w:pPr>
        <w:numPr>
          <w:ilvl w:val="0"/>
          <w:numId w:val="5"/>
        </w:numPr>
        <w:autoSpaceDE/>
        <w:autoSpaceDN/>
        <w:adjustRightInd/>
        <w:spacing w:after="0"/>
        <w:contextualSpacing/>
        <w:rPr>
          <w:rFonts w:cs="Arial"/>
          <w:b/>
        </w:rPr>
      </w:pPr>
      <w:bookmarkStart w:id="11" w:name="_Hlk118901458"/>
      <w:r w:rsidRPr="000F78F1">
        <w:rPr>
          <w:rFonts w:cs="Arial"/>
          <w:b/>
          <w:u w:val="single"/>
        </w:rPr>
        <w:lastRenderedPageBreak/>
        <w:t>Education and Children's Services Directorate</w:t>
      </w:r>
    </w:p>
    <w:p w14:paraId="39184D45" w14:textId="77777777" w:rsidR="000F78F1" w:rsidRPr="000F78F1" w:rsidRDefault="000F78F1" w:rsidP="000F78F1">
      <w:pPr>
        <w:autoSpaceDE/>
        <w:autoSpaceDN/>
        <w:adjustRightInd/>
        <w:spacing w:after="0"/>
        <w:ind w:left="720"/>
        <w:contextualSpacing/>
        <w:rPr>
          <w:rFonts w:cs="Arial"/>
          <w:b/>
          <w:u w:val="single"/>
        </w:rPr>
      </w:pPr>
    </w:p>
    <w:tbl>
      <w:tblPr>
        <w:tblW w:w="9199" w:type="dxa"/>
        <w:tblInd w:w="113" w:type="dxa"/>
        <w:tblLook w:val="04A0" w:firstRow="1" w:lastRow="0" w:firstColumn="1" w:lastColumn="0" w:noHBand="0" w:noVBand="1"/>
      </w:tblPr>
      <w:tblGrid>
        <w:gridCol w:w="3700"/>
        <w:gridCol w:w="1084"/>
        <w:gridCol w:w="1084"/>
        <w:gridCol w:w="1062"/>
        <w:gridCol w:w="1050"/>
        <w:gridCol w:w="1219"/>
      </w:tblGrid>
      <w:tr w:rsidR="000F78F1" w:rsidRPr="000F78F1" w14:paraId="4A5B1981" w14:textId="77777777" w:rsidTr="00C11DAC">
        <w:trPr>
          <w:trHeight w:val="770"/>
        </w:trPr>
        <w:tc>
          <w:tcPr>
            <w:tcW w:w="38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591FB6"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1A228C8B"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A767B0D"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6E5B714B"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51646B4"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14:paraId="02A335FF"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34772922"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23EE479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939" w:type="dxa"/>
            <w:tcBorders>
              <w:top w:val="nil"/>
              <w:left w:val="nil"/>
              <w:bottom w:val="nil"/>
              <w:right w:val="single" w:sz="4" w:space="0" w:color="auto"/>
            </w:tcBorders>
            <w:shd w:val="clear" w:color="000000" w:fill="D9D9D9"/>
            <w:vAlign w:val="center"/>
            <w:hideMark/>
          </w:tcPr>
          <w:p w14:paraId="073DB25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nil"/>
              <w:right w:val="single" w:sz="4" w:space="0" w:color="auto"/>
            </w:tcBorders>
            <w:shd w:val="clear" w:color="000000" w:fill="D9D9D9"/>
            <w:vAlign w:val="center"/>
            <w:hideMark/>
          </w:tcPr>
          <w:p w14:paraId="64EF93D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63" w:type="dxa"/>
            <w:tcBorders>
              <w:top w:val="nil"/>
              <w:left w:val="nil"/>
              <w:bottom w:val="nil"/>
              <w:right w:val="single" w:sz="4" w:space="0" w:color="auto"/>
            </w:tcBorders>
            <w:shd w:val="clear" w:color="000000" w:fill="D9D9D9"/>
            <w:vAlign w:val="center"/>
            <w:hideMark/>
          </w:tcPr>
          <w:p w14:paraId="5606751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nil"/>
              <w:right w:val="single" w:sz="4" w:space="0" w:color="auto"/>
            </w:tcBorders>
            <w:shd w:val="clear" w:color="000000" w:fill="D9D9D9"/>
            <w:vAlign w:val="center"/>
            <w:hideMark/>
          </w:tcPr>
          <w:p w14:paraId="50C6EE16"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233" w:type="dxa"/>
            <w:tcBorders>
              <w:top w:val="nil"/>
              <w:left w:val="nil"/>
              <w:bottom w:val="nil"/>
              <w:right w:val="single" w:sz="4" w:space="0" w:color="auto"/>
            </w:tcBorders>
            <w:shd w:val="clear" w:color="000000" w:fill="D9D9D9"/>
            <w:vAlign w:val="center"/>
            <w:hideMark/>
          </w:tcPr>
          <w:p w14:paraId="7AA8B00F"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7F97DACB"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5A71D697"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Front Door Assessment and Adolescent Services</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C42458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11.984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571603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12.508</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198535F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0.524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672F9C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4.37%</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14:paraId="23E4121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0.052</w:t>
            </w:r>
          </w:p>
        </w:tc>
      </w:tr>
      <w:tr w:rsidR="000F78F1" w:rsidRPr="000F78F1" w14:paraId="4601576E"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7FB18C09"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Family Safeguarding</w:t>
            </w:r>
          </w:p>
        </w:tc>
        <w:tc>
          <w:tcPr>
            <w:tcW w:w="939" w:type="dxa"/>
            <w:tcBorders>
              <w:top w:val="nil"/>
              <w:left w:val="nil"/>
              <w:bottom w:val="single" w:sz="4" w:space="0" w:color="auto"/>
              <w:right w:val="single" w:sz="4" w:space="0" w:color="auto"/>
            </w:tcBorders>
            <w:shd w:val="clear" w:color="auto" w:fill="auto"/>
            <w:vAlign w:val="center"/>
            <w:hideMark/>
          </w:tcPr>
          <w:p w14:paraId="595643D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12.425</w:t>
            </w:r>
          </w:p>
        </w:tc>
        <w:tc>
          <w:tcPr>
            <w:tcW w:w="1050" w:type="dxa"/>
            <w:tcBorders>
              <w:top w:val="nil"/>
              <w:left w:val="nil"/>
              <w:bottom w:val="single" w:sz="4" w:space="0" w:color="auto"/>
              <w:right w:val="single" w:sz="4" w:space="0" w:color="auto"/>
            </w:tcBorders>
            <w:shd w:val="clear" w:color="auto" w:fill="auto"/>
            <w:vAlign w:val="center"/>
            <w:hideMark/>
          </w:tcPr>
          <w:p w14:paraId="5D761BD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15.219</w:t>
            </w:r>
          </w:p>
        </w:tc>
        <w:tc>
          <w:tcPr>
            <w:tcW w:w="1063" w:type="dxa"/>
            <w:tcBorders>
              <w:top w:val="nil"/>
              <w:left w:val="nil"/>
              <w:bottom w:val="single" w:sz="4" w:space="0" w:color="auto"/>
              <w:right w:val="single" w:sz="4" w:space="0" w:color="auto"/>
            </w:tcBorders>
            <w:shd w:val="clear" w:color="000000" w:fill="D9D9D9"/>
            <w:vAlign w:val="center"/>
            <w:hideMark/>
          </w:tcPr>
          <w:p w14:paraId="171828C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2.794</w:t>
            </w:r>
          </w:p>
        </w:tc>
        <w:tc>
          <w:tcPr>
            <w:tcW w:w="1050" w:type="dxa"/>
            <w:tcBorders>
              <w:top w:val="nil"/>
              <w:left w:val="nil"/>
              <w:bottom w:val="single" w:sz="4" w:space="0" w:color="auto"/>
              <w:right w:val="single" w:sz="4" w:space="0" w:color="auto"/>
            </w:tcBorders>
            <w:shd w:val="clear" w:color="auto" w:fill="auto"/>
            <w:vAlign w:val="center"/>
            <w:hideMark/>
          </w:tcPr>
          <w:p w14:paraId="14E05FC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22.49%</w:t>
            </w:r>
          </w:p>
        </w:tc>
        <w:tc>
          <w:tcPr>
            <w:tcW w:w="1233" w:type="dxa"/>
            <w:tcBorders>
              <w:top w:val="nil"/>
              <w:left w:val="nil"/>
              <w:bottom w:val="single" w:sz="4" w:space="0" w:color="auto"/>
              <w:right w:val="single" w:sz="4" w:space="0" w:color="auto"/>
            </w:tcBorders>
            <w:shd w:val="clear" w:color="000000" w:fill="D9D9D9"/>
            <w:vAlign w:val="center"/>
            <w:hideMark/>
          </w:tcPr>
          <w:p w14:paraId="7EC77C88"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1.362</w:t>
            </w:r>
          </w:p>
        </w:tc>
      </w:tr>
      <w:tr w:rsidR="000F78F1" w:rsidRPr="000F78F1" w14:paraId="03D61E1F"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3C83F1B3"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Csc: Looked After Children and Leaving Care</w:t>
            </w:r>
          </w:p>
        </w:tc>
        <w:tc>
          <w:tcPr>
            <w:tcW w:w="939" w:type="dxa"/>
            <w:tcBorders>
              <w:top w:val="nil"/>
              <w:left w:val="nil"/>
              <w:bottom w:val="single" w:sz="4" w:space="0" w:color="auto"/>
              <w:right w:val="single" w:sz="4" w:space="0" w:color="auto"/>
            </w:tcBorders>
            <w:shd w:val="clear" w:color="auto" w:fill="auto"/>
            <w:vAlign w:val="center"/>
            <w:hideMark/>
          </w:tcPr>
          <w:p w14:paraId="2CDC389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98.487</w:t>
            </w:r>
          </w:p>
        </w:tc>
        <w:tc>
          <w:tcPr>
            <w:tcW w:w="1050" w:type="dxa"/>
            <w:tcBorders>
              <w:top w:val="nil"/>
              <w:left w:val="nil"/>
              <w:bottom w:val="single" w:sz="4" w:space="0" w:color="auto"/>
              <w:right w:val="single" w:sz="4" w:space="0" w:color="auto"/>
            </w:tcBorders>
            <w:shd w:val="clear" w:color="auto" w:fill="auto"/>
            <w:vAlign w:val="center"/>
            <w:hideMark/>
          </w:tcPr>
          <w:p w14:paraId="1773ED8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104.554</w:t>
            </w:r>
          </w:p>
        </w:tc>
        <w:tc>
          <w:tcPr>
            <w:tcW w:w="1063" w:type="dxa"/>
            <w:tcBorders>
              <w:top w:val="nil"/>
              <w:left w:val="nil"/>
              <w:bottom w:val="single" w:sz="4" w:space="0" w:color="auto"/>
              <w:right w:val="single" w:sz="4" w:space="0" w:color="auto"/>
            </w:tcBorders>
            <w:shd w:val="clear" w:color="000000" w:fill="D9D9D9"/>
            <w:vAlign w:val="center"/>
            <w:hideMark/>
          </w:tcPr>
          <w:p w14:paraId="556BDA0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6.067</w:t>
            </w:r>
          </w:p>
        </w:tc>
        <w:tc>
          <w:tcPr>
            <w:tcW w:w="1050" w:type="dxa"/>
            <w:tcBorders>
              <w:top w:val="nil"/>
              <w:left w:val="nil"/>
              <w:bottom w:val="single" w:sz="4" w:space="0" w:color="auto"/>
              <w:right w:val="single" w:sz="4" w:space="0" w:color="auto"/>
            </w:tcBorders>
            <w:shd w:val="clear" w:color="auto" w:fill="auto"/>
            <w:vAlign w:val="center"/>
            <w:hideMark/>
          </w:tcPr>
          <w:p w14:paraId="2598797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6.16%</w:t>
            </w:r>
          </w:p>
        </w:tc>
        <w:tc>
          <w:tcPr>
            <w:tcW w:w="1233" w:type="dxa"/>
            <w:tcBorders>
              <w:top w:val="nil"/>
              <w:left w:val="nil"/>
              <w:bottom w:val="single" w:sz="4" w:space="0" w:color="auto"/>
              <w:right w:val="single" w:sz="4" w:space="0" w:color="auto"/>
            </w:tcBorders>
            <w:shd w:val="clear" w:color="000000" w:fill="D9D9D9"/>
            <w:vAlign w:val="center"/>
            <w:hideMark/>
          </w:tcPr>
          <w:p w14:paraId="657991AA"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7.792</w:t>
            </w:r>
          </w:p>
        </w:tc>
      </w:tr>
      <w:tr w:rsidR="000F78F1" w:rsidRPr="000F78F1" w14:paraId="0EE63511" w14:textId="77777777" w:rsidTr="00C11DAC">
        <w:trPr>
          <w:trHeight w:val="377"/>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484E4C4D"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Fostering and Adoption Lancashire Blackpool and Residential Services</w:t>
            </w:r>
          </w:p>
        </w:tc>
        <w:tc>
          <w:tcPr>
            <w:tcW w:w="939" w:type="dxa"/>
            <w:tcBorders>
              <w:top w:val="nil"/>
              <w:left w:val="nil"/>
              <w:bottom w:val="single" w:sz="4" w:space="0" w:color="auto"/>
              <w:right w:val="single" w:sz="4" w:space="0" w:color="auto"/>
            </w:tcBorders>
            <w:shd w:val="clear" w:color="auto" w:fill="auto"/>
            <w:vAlign w:val="center"/>
            <w:hideMark/>
          </w:tcPr>
          <w:p w14:paraId="7ED1F2E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36.933</w:t>
            </w:r>
          </w:p>
        </w:tc>
        <w:tc>
          <w:tcPr>
            <w:tcW w:w="1050" w:type="dxa"/>
            <w:tcBorders>
              <w:top w:val="nil"/>
              <w:left w:val="nil"/>
              <w:bottom w:val="single" w:sz="4" w:space="0" w:color="auto"/>
              <w:right w:val="single" w:sz="4" w:space="0" w:color="auto"/>
            </w:tcBorders>
            <w:shd w:val="clear" w:color="auto" w:fill="auto"/>
            <w:vAlign w:val="center"/>
            <w:hideMark/>
          </w:tcPr>
          <w:p w14:paraId="5761367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37.705</w:t>
            </w:r>
          </w:p>
        </w:tc>
        <w:tc>
          <w:tcPr>
            <w:tcW w:w="1063" w:type="dxa"/>
            <w:tcBorders>
              <w:top w:val="nil"/>
              <w:left w:val="nil"/>
              <w:bottom w:val="single" w:sz="4" w:space="0" w:color="auto"/>
              <w:right w:val="single" w:sz="4" w:space="0" w:color="auto"/>
            </w:tcBorders>
            <w:shd w:val="clear" w:color="000000" w:fill="D9D9D9"/>
            <w:vAlign w:val="center"/>
            <w:hideMark/>
          </w:tcPr>
          <w:p w14:paraId="4773D22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0.772</w:t>
            </w:r>
          </w:p>
        </w:tc>
        <w:tc>
          <w:tcPr>
            <w:tcW w:w="1050" w:type="dxa"/>
            <w:tcBorders>
              <w:top w:val="nil"/>
              <w:left w:val="nil"/>
              <w:bottom w:val="single" w:sz="4" w:space="0" w:color="auto"/>
              <w:right w:val="single" w:sz="4" w:space="0" w:color="auto"/>
            </w:tcBorders>
            <w:shd w:val="clear" w:color="auto" w:fill="auto"/>
            <w:vAlign w:val="center"/>
            <w:hideMark/>
          </w:tcPr>
          <w:p w14:paraId="4151978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2.09%</w:t>
            </w:r>
          </w:p>
        </w:tc>
        <w:tc>
          <w:tcPr>
            <w:tcW w:w="1233" w:type="dxa"/>
            <w:tcBorders>
              <w:top w:val="nil"/>
              <w:left w:val="nil"/>
              <w:bottom w:val="single" w:sz="4" w:space="0" w:color="auto"/>
              <w:right w:val="single" w:sz="4" w:space="0" w:color="auto"/>
            </w:tcBorders>
            <w:shd w:val="clear" w:color="000000" w:fill="D9D9D9"/>
            <w:vAlign w:val="center"/>
            <w:hideMark/>
          </w:tcPr>
          <w:p w14:paraId="722EF7D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1.459</w:t>
            </w:r>
          </w:p>
        </w:tc>
      </w:tr>
      <w:tr w:rsidR="000F78F1" w:rsidRPr="000F78F1" w14:paraId="32025800"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308E97BB"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Family Safeguarding Project</w:t>
            </w:r>
          </w:p>
        </w:tc>
        <w:tc>
          <w:tcPr>
            <w:tcW w:w="939" w:type="dxa"/>
            <w:tcBorders>
              <w:top w:val="nil"/>
              <w:left w:val="nil"/>
              <w:bottom w:val="single" w:sz="4" w:space="0" w:color="auto"/>
              <w:right w:val="single" w:sz="4" w:space="0" w:color="auto"/>
            </w:tcBorders>
            <w:shd w:val="clear" w:color="auto" w:fill="auto"/>
            <w:vAlign w:val="center"/>
            <w:hideMark/>
          </w:tcPr>
          <w:p w14:paraId="695FB08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0.087</w:t>
            </w:r>
          </w:p>
        </w:tc>
        <w:tc>
          <w:tcPr>
            <w:tcW w:w="1050" w:type="dxa"/>
            <w:tcBorders>
              <w:top w:val="nil"/>
              <w:left w:val="nil"/>
              <w:bottom w:val="single" w:sz="4" w:space="0" w:color="auto"/>
              <w:right w:val="single" w:sz="4" w:space="0" w:color="auto"/>
            </w:tcBorders>
            <w:shd w:val="clear" w:color="auto" w:fill="auto"/>
            <w:vAlign w:val="center"/>
            <w:hideMark/>
          </w:tcPr>
          <w:p w14:paraId="1703415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0.087</w:t>
            </w:r>
          </w:p>
        </w:tc>
        <w:tc>
          <w:tcPr>
            <w:tcW w:w="1063" w:type="dxa"/>
            <w:tcBorders>
              <w:top w:val="nil"/>
              <w:left w:val="nil"/>
              <w:bottom w:val="single" w:sz="4" w:space="0" w:color="auto"/>
              <w:right w:val="single" w:sz="4" w:space="0" w:color="auto"/>
            </w:tcBorders>
            <w:shd w:val="clear" w:color="000000" w:fill="D9D9D9"/>
            <w:vAlign w:val="center"/>
            <w:hideMark/>
          </w:tcPr>
          <w:p w14:paraId="72EDB55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2451A5B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w:t>
            </w:r>
          </w:p>
        </w:tc>
        <w:tc>
          <w:tcPr>
            <w:tcW w:w="1233" w:type="dxa"/>
            <w:tcBorders>
              <w:top w:val="nil"/>
              <w:left w:val="nil"/>
              <w:bottom w:val="single" w:sz="4" w:space="0" w:color="auto"/>
              <w:right w:val="single" w:sz="4" w:space="0" w:color="auto"/>
            </w:tcBorders>
            <w:shd w:val="clear" w:color="000000" w:fill="D9D9D9"/>
            <w:vAlign w:val="center"/>
            <w:hideMark/>
          </w:tcPr>
          <w:p w14:paraId="6B4E32D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17215655" w14:textId="77777777" w:rsidTr="00C11DAC">
        <w:trPr>
          <w:trHeight w:val="317"/>
        </w:trPr>
        <w:tc>
          <w:tcPr>
            <w:tcW w:w="3864" w:type="dxa"/>
            <w:tcBorders>
              <w:top w:val="nil"/>
              <w:left w:val="single" w:sz="8" w:space="0" w:color="auto"/>
              <w:bottom w:val="single" w:sz="8" w:space="0" w:color="auto"/>
              <w:right w:val="single" w:sz="4" w:space="0" w:color="auto"/>
            </w:tcBorders>
            <w:shd w:val="clear" w:color="000000" w:fill="D9D9D9"/>
            <w:vAlign w:val="center"/>
            <w:hideMark/>
          </w:tcPr>
          <w:p w14:paraId="1EF6BA77"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Childrens Social Care</w:t>
            </w:r>
          </w:p>
        </w:tc>
        <w:tc>
          <w:tcPr>
            <w:tcW w:w="939" w:type="dxa"/>
            <w:tcBorders>
              <w:top w:val="nil"/>
              <w:left w:val="nil"/>
              <w:bottom w:val="single" w:sz="8" w:space="0" w:color="auto"/>
              <w:right w:val="single" w:sz="4" w:space="0" w:color="auto"/>
            </w:tcBorders>
            <w:shd w:val="clear" w:color="000000" w:fill="D9D9D9"/>
            <w:vAlign w:val="center"/>
            <w:hideMark/>
          </w:tcPr>
          <w:p w14:paraId="7A5C1F2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159.916</w:t>
            </w:r>
          </w:p>
        </w:tc>
        <w:tc>
          <w:tcPr>
            <w:tcW w:w="1050" w:type="dxa"/>
            <w:tcBorders>
              <w:top w:val="nil"/>
              <w:left w:val="nil"/>
              <w:bottom w:val="single" w:sz="8" w:space="0" w:color="auto"/>
              <w:right w:val="single" w:sz="4" w:space="0" w:color="auto"/>
            </w:tcBorders>
            <w:shd w:val="clear" w:color="000000" w:fill="D9D9D9"/>
            <w:vAlign w:val="center"/>
            <w:hideMark/>
          </w:tcPr>
          <w:p w14:paraId="3B22FBC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170.073</w:t>
            </w:r>
          </w:p>
        </w:tc>
        <w:tc>
          <w:tcPr>
            <w:tcW w:w="1063" w:type="dxa"/>
            <w:tcBorders>
              <w:top w:val="nil"/>
              <w:left w:val="nil"/>
              <w:bottom w:val="single" w:sz="8" w:space="0" w:color="auto"/>
              <w:right w:val="single" w:sz="4" w:space="0" w:color="auto"/>
            </w:tcBorders>
            <w:shd w:val="clear" w:color="000000" w:fill="D9D9D9"/>
            <w:vAlign w:val="center"/>
            <w:hideMark/>
          </w:tcPr>
          <w:p w14:paraId="48228D9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10.157</w:t>
            </w:r>
          </w:p>
        </w:tc>
        <w:tc>
          <w:tcPr>
            <w:tcW w:w="1050" w:type="dxa"/>
            <w:tcBorders>
              <w:top w:val="nil"/>
              <w:left w:val="nil"/>
              <w:bottom w:val="single" w:sz="8" w:space="0" w:color="auto"/>
              <w:right w:val="single" w:sz="4" w:space="0" w:color="auto"/>
            </w:tcBorders>
            <w:shd w:val="clear" w:color="000000" w:fill="D9D9D9"/>
            <w:vAlign w:val="center"/>
            <w:hideMark/>
          </w:tcPr>
          <w:p w14:paraId="709F84F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6.35%</w:t>
            </w:r>
          </w:p>
        </w:tc>
        <w:tc>
          <w:tcPr>
            <w:tcW w:w="1233" w:type="dxa"/>
            <w:tcBorders>
              <w:top w:val="nil"/>
              <w:left w:val="nil"/>
              <w:bottom w:val="single" w:sz="8" w:space="0" w:color="auto"/>
              <w:right w:val="single" w:sz="4" w:space="0" w:color="auto"/>
            </w:tcBorders>
            <w:shd w:val="clear" w:color="000000" w:fill="D9D9D9"/>
            <w:vAlign w:val="center"/>
            <w:hideMark/>
          </w:tcPr>
          <w:p w14:paraId="32BCFC21"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10.665</w:t>
            </w:r>
          </w:p>
        </w:tc>
      </w:tr>
      <w:tr w:rsidR="000F78F1" w:rsidRPr="000F78F1" w14:paraId="112E22B5" w14:textId="77777777" w:rsidTr="00C11DAC">
        <w:trPr>
          <w:trHeight w:val="317"/>
        </w:trPr>
        <w:tc>
          <w:tcPr>
            <w:tcW w:w="3864" w:type="dxa"/>
            <w:tcBorders>
              <w:top w:val="nil"/>
              <w:left w:val="single" w:sz="8" w:space="0" w:color="auto"/>
              <w:bottom w:val="single" w:sz="8" w:space="0" w:color="auto"/>
              <w:right w:val="single" w:sz="4" w:space="0" w:color="auto"/>
            </w:tcBorders>
            <w:shd w:val="clear" w:color="auto" w:fill="auto"/>
            <w:vAlign w:val="center"/>
          </w:tcPr>
          <w:p w14:paraId="74F9B445"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2A85C084"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68374EC2"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63" w:type="dxa"/>
            <w:tcBorders>
              <w:top w:val="nil"/>
              <w:left w:val="nil"/>
              <w:bottom w:val="single" w:sz="8" w:space="0" w:color="auto"/>
              <w:right w:val="single" w:sz="4" w:space="0" w:color="auto"/>
            </w:tcBorders>
            <w:shd w:val="clear" w:color="auto" w:fill="auto"/>
            <w:vAlign w:val="center"/>
          </w:tcPr>
          <w:p w14:paraId="2CD55B45"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101B240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33" w:type="dxa"/>
            <w:tcBorders>
              <w:top w:val="nil"/>
              <w:left w:val="nil"/>
              <w:bottom w:val="single" w:sz="8" w:space="0" w:color="auto"/>
              <w:right w:val="single" w:sz="4" w:space="0" w:color="auto"/>
            </w:tcBorders>
            <w:shd w:val="clear" w:color="auto" w:fill="auto"/>
            <w:vAlign w:val="center"/>
          </w:tcPr>
          <w:p w14:paraId="7C42290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E05E842" w14:textId="77777777" w:rsidTr="00C11DAC">
        <w:trPr>
          <w:trHeight w:val="302"/>
        </w:trPr>
        <w:tc>
          <w:tcPr>
            <w:tcW w:w="386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1F62FC7"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Inclusion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C93BDB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23.470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AE1AF7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23.910</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1F15DCA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0.440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BE936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1.87%</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14:paraId="3E2A0B7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1.174</w:t>
            </w:r>
          </w:p>
        </w:tc>
      </w:tr>
      <w:tr w:rsidR="000F78F1" w:rsidRPr="000F78F1" w14:paraId="646C935E"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73AC0FA1"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Children And Family Wellbeing Service</w:t>
            </w:r>
          </w:p>
        </w:tc>
        <w:tc>
          <w:tcPr>
            <w:tcW w:w="939" w:type="dxa"/>
            <w:tcBorders>
              <w:top w:val="nil"/>
              <w:left w:val="nil"/>
              <w:bottom w:val="single" w:sz="4" w:space="0" w:color="auto"/>
              <w:right w:val="single" w:sz="4" w:space="0" w:color="auto"/>
            </w:tcBorders>
            <w:shd w:val="clear" w:color="auto" w:fill="auto"/>
            <w:vAlign w:val="center"/>
            <w:hideMark/>
          </w:tcPr>
          <w:p w14:paraId="2AE083C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18.525</w:t>
            </w:r>
          </w:p>
        </w:tc>
        <w:tc>
          <w:tcPr>
            <w:tcW w:w="1050" w:type="dxa"/>
            <w:tcBorders>
              <w:top w:val="nil"/>
              <w:left w:val="nil"/>
              <w:bottom w:val="single" w:sz="4" w:space="0" w:color="auto"/>
              <w:right w:val="single" w:sz="4" w:space="0" w:color="auto"/>
            </w:tcBorders>
            <w:shd w:val="clear" w:color="auto" w:fill="auto"/>
            <w:vAlign w:val="center"/>
            <w:hideMark/>
          </w:tcPr>
          <w:p w14:paraId="022D5A7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16.863</w:t>
            </w:r>
          </w:p>
        </w:tc>
        <w:tc>
          <w:tcPr>
            <w:tcW w:w="1063" w:type="dxa"/>
            <w:tcBorders>
              <w:top w:val="nil"/>
              <w:left w:val="nil"/>
              <w:bottom w:val="single" w:sz="4" w:space="0" w:color="auto"/>
              <w:right w:val="single" w:sz="4" w:space="0" w:color="auto"/>
            </w:tcBorders>
            <w:shd w:val="clear" w:color="000000" w:fill="D9D9D9"/>
            <w:vAlign w:val="center"/>
            <w:hideMark/>
          </w:tcPr>
          <w:p w14:paraId="20F45EE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-1.662</w:t>
            </w:r>
          </w:p>
        </w:tc>
        <w:tc>
          <w:tcPr>
            <w:tcW w:w="1050" w:type="dxa"/>
            <w:tcBorders>
              <w:top w:val="nil"/>
              <w:left w:val="nil"/>
              <w:bottom w:val="single" w:sz="4" w:space="0" w:color="auto"/>
              <w:right w:val="single" w:sz="4" w:space="0" w:color="auto"/>
            </w:tcBorders>
            <w:shd w:val="clear" w:color="auto" w:fill="auto"/>
            <w:vAlign w:val="center"/>
            <w:hideMark/>
          </w:tcPr>
          <w:p w14:paraId="59E964F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-8.97%</w:t>
            </w:r>
          </w:p>
        </w:tc>
        <w:tc>
          <w:tcPr>
            <w:tcW w:w="1233" w:type="dxa"/>
            <w:tcBorders>
              <w:top w:val="nil"/>
              <w:left w:val="nil"/>
              <w:bottom w:val="single" w:sz="4" w:space="0" w:color="auto"/>
              <w:right w:val="single" w:sz="4" w:space="0" w:color="auto"/>
            </w:tcBorders>
            <w:shd w:val="clear" w:color="000000" w:fill="D9D9D9"/>
            <w:vAlign w:val="center"/>
            <w:hideMark/>
          </w:tcPr>
          <w:p w14:paraId="69D3262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-1.587</w:t>
            </w:r>
          </w:p>
        </w:tc>
      </w:tr>
      <w:tr w:rsidR="000F78F1" w:rsidRPr="000F78F1" w14:paraId="2049AFFA"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345E6320"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Cultural Services</w:t>
            </w:r>
          </w:p>
        </w:tc>
        <w:tc>
          <w:tcPr>
            <w:tcW w:w="939" w:type="dxa"/>
            <w:tcBorders>
              <w:top w:val="nil"/>
              <w:left w:val="nil"/>
              <w:bottom w:val="single" w:sz="4" w:space="0" w:color="auto"/>
              <w:right w:val="single" w:sz="4" w:space="0" w:color="auto"/>
            </w:tcBorders>
            <w:shd w:val="clear" w:color="auto" w:fill="auto"/>
            <w:vAlign w:val="center"/>
            <w:hideMark/>
          </w:tcPr>
          <w:p w14:paraId="240DA4A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11.275</w:t>
            </w:r>
          </w:p>
        </w:tc>
        <w:tc>
          <w:tcPr>
            <w:tcW w:w="1050" w:type="dxa"/>
            <w:tcBorders>
              <w:top w:val="nil"/>
              <w:left w:val="nil"/>
              <w:bottom w:val="single" w:sz="4" w:space="0" w:color="auto"/>
              <w:right w:val="single" w:sz="4" w:space="0" w:color="auto"/>
            </w:tcBorders>
            <w:shd w:val="clear" w:color="auto" w:fill="auto"/>
            <w:vAlign w:val="center"/>
            <w:hideMark/>
          </w:tcPr>
          <w:p w14:paraId="3A71A4C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11.687</w:t>
            </w:r>
          </w:p>
        </w:tc>
        <w:tc>
          <w:tcPr>
            <w:tcW w:w="1063" w:type="dxa"/>
            <w:tcBorders>
              <w:top w:val="nil"/>
              <w:left w:val="nil"/>
              <w:bottom w:val="single" w:sz="4" w:space="0" w:color="auto"/>
              <w:right w:val="single" w:sz="4" w:space="0" w:color="auto"/>
            </w:tcBorders>
            <w:shd w:val="clear" w:color="000000" w:fill="D9D9D9"/>
            <w:vAlign w:val="center"/>
            <w:hideMark/>
          </w:tcPr>
          <w:p w14:paraId="34CC576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0.412</w:t>
            </w:r>
          </w:p>
        </w:tc>
        <w:tc>
          <w:tcPr>
            <w:tcW w:w="1050" w:type="dxa"/>
            <w:tcBorders>
              <w:top w:val="nil"/>
              <w:left w:val="nil"/>
              <w:bottom w:val="single" w:sz="4" w:space="0" w:color="auto"/>
              <w:right w:val="single" w:sz="4" w:space="0" w:color="auto"/>
            </w:tcBorders>
            <w:shd w:val="clear" w:color="auto" w:fill="auto"/>
            <w:vAlign w:val="center"/>
            <w:hideMark/>
          </w:tcPr>
          <w:p w14:paraId="1E41680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3.65%</w:t>
            </w:r>
          </w:p>
        </w:tc>
        <w:tc>
          <w:tcPr>
            <w:tcW w:w="1233" w:type="dxa"/>
            <w:tcBorders>
              <w:top w:val="nil"/>
              <w:left w:val="nil"/>
              <w:bottom w:val="single" w:sz="4" w:space="0" w:color="auto"/>
              <w:right w:val="single" w:sz="4" w:space="0" w:color="auto"/>
            </w:tcBorders>
            <w:shd w:val="clear" w:color="000000" w:fill="D9D9D9"/>
            <w:vAlign w:val="center"/>
            <w:hideMark/>
          </w:tcPr>
          <w:p w14:paraId="4E40A01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0.647</w:t>
            </w:r>
          </w:p>
        </w:tc>
      </w:tr>
      <w:tr w:rsidR="000F78F1" w:rsidRPr="000F78F1" w14:paraId="089DACAD"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45F0D0B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Education Improvement 0 - 11 Years</w:t>
            </w:r>
          </w:p>
        </w:tc>
        <w:tc>
          <w:tcPr>
            <w:tcW w:w="939" w:type="dxa"/>
            <w:tcBorders>
              <w:top w:val="nil"/>
              <w:left w:val="nil"/>
              <w:bottom w:val="single" w:sz="4" w:space="0" w:color="auto"/>
              <w:right w:val="single" w:sz="4" w:space="0" w:color="auto"/>
            </w:tcBorders>
            <w:shd w:val="clear" w:color="auto" w:fill="auto"/>
            <w:vAlign w:val="center"/>
            <w:hideMark/>
          </w:tcPr>
          <w:p w14:paraId="42835CC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5.128</w:t>
            </w:r>
          </w:p>
        </w:tc>
        <w:tc>
          <w:tcPr>
            <w:tcW w:w="1050" w:type="dxa"/>
            <w:tcBorders>
              <w:top w:val="nil"/>
              <w:left w:val="nil"/>
              <w:bottom w:val="single" w:sz="4" w:space="0" w:color="auto"/>
              <w:right w:val="single" w:sz="4" w:space="0" w:color="auto"/>
            </w:tcBorders>
            <w:shd w:val="clear" w:color="auto" w:fill="auto"/>
            <w:vAlign w:val="center"/>
            <w:hideMark/>
          </w:tcPr>
          <w:p w14:paraId="448B6B3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5.995</w:t>
            </w:r>
          </w:p>
        </w:tc>
        <w:tc>
          <w:tcPr>
            <w:tcW w:w="1063" w:type="dxa"/>
            <w:tcBorders>
              <w:top w:val="nil"/>
              <w:left w:val="nil"/>
              <w:bottom w:val="single" w:sz="4" w:space="0" w:color="auto"/>
              <w:right w:val="single" w:sz="4" w:space="0" w:color="auto"/>
            </w:tcBorders>
            <w:shd w:val="clear" w:color="000000" w:fill="D9D9D9"/>
            <w:vAlign w:val="center"/>
            <w:hideMark/>
          </w:tcPr>
          <w:p w14:paraId="339D729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0.867</w:t>
            </w:r>
          </w:p>
        </w:tc>
        <w:tc>
          <w:tcPr>
            <w:tcW w:w="1050" w:type="dxa"/>
            <w:tcBorders>
              <w:top w:val="nil"/>
              <w:left w:val="nil"/>
              <w:bottom w:val="single" w:sz="4" w:space="0" w:color="auto"/>
              <w:right w:val="single" w:sz="4" w:space="0" w:color="auto"/>
            </w:tcBorders>
            <w:shd w:val="clear" w:color="auto" w:fill="auto"/>
            <w:vAlign w:val="center"/>
            <w:hideMark/>
          </w:tcPr>
          <w:p w14:paraId="3A42525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16.91%</w:t>
            </w:r>
          </w:p>
        </w:tc>
        <w:tc>
          <w:tcPr>
            <w:tcW w:w="1233" w:type="dxa"/>
            <w:tcBorders>
              <w:top w:val="nil"/>
              <w:left w:val="nil"/>
              <w:bottom w:val="single" w:sz="4" w:space="0" w:color="auto"/>
              <w:right w:val="single" w:sz="4" w:space="0" w:color="auto"/>
            </w:tcBorders>
            <w:shd w:val="clear" w:color="000000" w:fill="D9D9D9"/>
            <w:vAlign w:val="center"/>
            <w:hideMark/>
          </w:tcPr>
          <w:p w14:paraId="1D5CB52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1.264</w:t>
            </w:r>
          </w:p>
        </w:tc>
      </w:tr>
      <w:tr w:rsidR="000F78F1" w:rsidRPr="000F78F1" w14:paraId="285B1AFD" w14:textId="77777777" w:rsidTr="00C11DAC">
        <w:trPr>
          <w:trHeight w:val="317"/>
        </w:trPr>
        <w:tc>
          <w:tcPr>
            <w:tcW w:w="3864" w:type="dxa"/>
            <w:tcBorders>
              <w:top w:val="nil"/>
              <w:left w:val="single" w:sz="8" w:space="0" w:color="auto"/>
              <w:bottom w:val="single" w:sz="8" w:space="0" w:color="auto"/>
              <w:right w:val="single" w:sz="4" w:space="0" w:color="auto"/>
            </w:tcBorders>
            <w:shd w:val="clear" w:color="000000" w:fill="D9D9D9"/>
            <w:vAlign w:val="center"/>
            <w:hideMark/>
          </w:tcPr>
          <w:p w14:paraId="23F61BBA"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Education and Skills</w:t>
            </w:r>
          </w:p>
        </w:tc>
        <w:tc>
          <w:tcPr>
            <w:tcW w:w="939" w:type="dxa"/>
            <w:tcBorders>
              <w:top w:val="nil"/>
              <w:left w:val="nil"/>
              <w:bottom w:val="single" w:sz="8" w:space="0" w:color="auto"/>
              <w:right w:val="single" w:sz="4" w:space="0" w:color="auto"/>
            </w:tcBorders>
            <w:shd w:val="clear" w:color="000000" w:fill="D9D9D9"/>
            <w:vAlign w:val="center"/>
            <w:hideMark/>
          </w:tcPr>
          <w:p w14:paraId="33926ED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58.398</w:t>
            </w:r>
          </w:p>
        </w:tc>
        <w:tc>
          <w:tcPr>
            <w:tcW w:w="1050" w:type="dxa"/>
            <w:tcBorders>
              <w:top w:val="nil"/>
              <w:left w:val="nil"/>
              <w:bottom w:val="single" w:sz="8" w:space="0" w:color="auto"/>
              <w:right w:val="single" w:sz="4" w:space="0" w:color="auto"/>
            </w:tcBorders>
            <w:shd w:val="clear" w:color="000000" w:fill="D9D9D9"/>
            <w:vAlign w:val="center"/>
            <w:hideMark/>
          </w:tcPr>
          <w:p w14:paraId="13B3C1E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58.455</w:t>
            </w:r>
          </w:p>
        </w:tc>
        <w:tc>
          <w:tcPr>
            <w:tcW w:w="1063" w:type="dxa"/>
            <w:tcBorders>
              <w:top w:val="nil"/>
              <w:left w:val="nil"/>
              <w:bottom w:val="single" w:sz="8" w:space="0" w:color="auto"/>
              <w:right w:val="single" w:sz="4" w:space="0" w:color="auto"/>
            </w:tcBorders>
            <w:shd w:val="clear" w:color="000000" w:fill="D9D9D9"/>
            <w:vAlign w:val="center"/>
            <w:hideMark/>
          </w:tcPr>
          <w:p w14:paraId="72231F9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0.057</w:t>
            </w:r>
          </w:p>
        </w:tc>
        <w:tc>
          <w:tcPr>
            <w:tcW w:w="1050" w:type="dxa"/>
            <w:tcBorders>
              <w:top w:val="nil"/>
              <w:left w:val="nil"/>
              <w:bottom w:val="single" w:sz="8" w:space="0" w:color="auto"/>
              <w:right w:val="single" w:sz="4" w:space="0" w:color="auto"/>
            </w:tcBorders>
            <w:shd w:val="clear" w:color="000000" w:fill="D9D9D9"/>
            <w:vAlign w:val="center"/>
            <w:hideMark/>
          </w:tcPr>
          <w:p w14:paraId="4880188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0.10%</w:t>
            </w:r>
          </w:p>
        </w:tc>
        <w:tc>
          <w:tcPr>
            <w:tcW w:w="1233" w:type="dxa"/>
            <w:tcBorders>
              <w:top w:val="nil"/>
              <w:left w:val="nil"/>
              <w:bottom w:val="single" w:sz="8" w:space="0" w:color="auto"/>
              <w:right w:val="single" w:sz="4" w:space="0" w:color="auto"/>
            </w:tcBorders>
            <w:shd w:val="clear" w:color="000000" w:fill="D9D9D9"/>
            <w:vAlign w:val="center"/>
            <w:hideMark/>
          </w:tcPr>
          <w:p w14:paraId="75390AAA"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1.498</w:t>
            </w:r>
          </w:p>
        </w:tc>
      </w:tr>
      <w:tr w:rsidR="000F78F1" w:rsidRPr="000F78F1" w14:paraId="4E6AFAD7" w14:textId="77777777" w:rsidTr="00C11DAC">
        <w:trPr>
          <w:trHeight w:val="317"/>
        </w:trPr>
        <w:tc>
          <w:tcPr>
            <w:tcW w:w="3864" w:type="dxa"/>
            <w:tcBorders>
              <w:top w:val="nil"/>
              <w:left w:val="single" w:sz="8" w:space="0" w:color="auto"/>
              <w:bottom w:val="single" w:sz="8" w:space="0" w:color="auto"/>
              <w:right w:val="single" w:sz="4" w:space="0" w:color="auto"/>
            </w:tcBorders>
            <w:shd w:val="clear" w:color="auto" w:fill="auto"/>
            <w:vAlign w:val="center"/>
          </w:tcPr>
          <w:p w14:paraId="4A271FDF"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59FE7E2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133BB88E"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63" w:type="dxa"/>
            <w:tcBorders>
              <w:top w:val="nil"/>
              <w:left w:val="nil"/>
              <w:bottom w:val="single" w:sz="8" w:space="0" w:color="auto"/>
              <w:right w:val="single" w:sz="4" w:space="0" w:color="auto"/>
            </w:tcBorders>
            <w:shd w:val="clear" w:color="auto" w:fill="auto"/>
            <w:vAlign w:val="center"/>
          </w:tcPr>
          <w:p w14:paraId="7523CD24"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981C8B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33" w:type="dxa"/>
            <w:tcBorders>
              <w:top w:val="nil"/>
              <w:left w:val="nil"/>
              <w:bottom w:val="single" w:sz="8" w:space="0" w:color="auto"/>
              <w:right w:val="single" w:sz="4" w:space="0" w:color="auto"/>
            </w:tcBorders>
            <w:shd w:val="clear" w:color="auto" w:fill="auto"/>
            <w:vAlign w:val="center"/>
          </w:tcPr>
          <w:p w14:paraId="02FD672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486643C8"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7925E25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Safeguarding Inspection and Audit</w:t>
            </w:r>
          </w:p>
        </w:tc>
        <w:tc>
          <w:tcPr>
            <w:tcW w:w="939" w:type="dxa"/>
            <w:tcBorders>
              <w:top w:val="nil"/>
              <w:left w:val="nil"/>
              <w:bottom w:val="single" w:sz="4" w:space="0" w:color="auto"/>
              <w:right w:val="single" w:sz="4" w:space="0" w:color="auto"/>
            </w:tcBorders>
            <w:shd w:val="clear" w:color="auto" w:fill="auto"/>
            <w:vAlign w:val="center"/>
            <w:hideMark/>
          </w:tcPr>
          <w:p w14:paraId="3D6A464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15.015</w:t>
            </w:r>
          </w:p>
        </w:tc>
        <w:tc>
          <w:tcPr>
            <w:tcW w:w="1050" w:type="dxa"/>
            <w:tcBorders>
              <w:top w:val="nil"/>
              <w:left w:val="nil"/>
              <w:bottom w:val="single" w:sz="4" w:space="0" w:color="auto"/>
              <w:right w:val="single" w:sz="4" w:space="0" w:color="auto"/>
            </w:tcBorders>
            <w:shd w:val="clear" w:color="auto" w:fill="auto"/>
            <w:vAlign w:val="center"/>
            <w:hideMark/>
          </w:tcPr>
          <w:p w14:paraId="3117F87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15.013</w:t>
            </w:r>
          </w:p>
        </w:tc>
        <w:tc>
          <w:tcPr>
            <w:tcW w:w="1063" w:type="dxa"/>
            <w:tcBorders>
              <w:top w:val="nil"/>
              <w:left w:val="nil"/>
              <w:bottom w:val="single" w:sz="4" w:space="0" w:color="auto"/>
              <w:right w:val="single" w:sz="4" w:space="0" w:color="auto"/>
            </w:tcBorders>
            <w:shd w:val="clear" w:color="000000" w:fill="D9D9D9"/>
            <w:vAlign w:val="center"/>
            <w:hideMark/>
          </w:tcPr>
          <w:p w14:paraId="7FA4278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-0.002</w:t>
            </w:r>
          </w:p>
        </w:tc>
        <w:tc>
          <w:tcPr>
            <w:tcW w:w="1050" w:type="dxa"/>
            <w:tcBorders>
              <w:top w:val="nil"/>
              <w:left w:val="nil"/>
              <w:bottom w:val="single" w:sz="4" w:space="0" w:color="auto"/>
              <w:right w:val="single" w:sz="4" w:space="0" w:color="auto"/>
            </w:tcBorders>
            <w:shd w:val="clear" w:color="auto" w:fill="auto"/>
            <w:vAlign w:val="center"/>
            <w:hideMark/>
          </w:tcPr>
          <w:p w14:paraId="578C48C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w:t>
            </w:r>
          </w:p>
        </w:tc>
        <w:tc>
          <w:tcPr>
            <w:tcW w:w="1233" w:type="dxa"/>
            <w:tcBorders>
              <w:top w:val="nil"/>
              <w:left w:val="nil"/>
              <w:bottom w:val="single" w:sz="4" w:space="0" w:color="auto"/>
              <w:right w:val="single" w:sz="4" w:space="0" w:color="auto"/>
            </w:tcBorders>
            <w:shd w:val="clear" w:color="000000" w:fill="D9D9D9"/>
            <w:vAlign w:val="center"/>
            <w:hideMark/>
          </w:tcPr>
          <w:p w14:paraId="3BD07D5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0.138</w:t>
            </w:r>
          </w:p>
        </w:tc>
      </w:tr>
      <w:tr w:rsidR="000F78F1" w:rsidRPr="000F78F1" w14:paraId="68FA43CA" w14:textId="77777777" w:rsidTr="00C11DAC">
        <w:trPr>
          <w:trHeight w:val="302"/>
        </w:trPr>
        <w:tc>
          <w:tcPr>
            <w:tcW w:w="3864" w:type="dxa"/>
            <w:tcBorders>
              <w:top w:val="nil"/>
              <w:left w:val="single" w:sz="8" w:space="0" w:color="auto"/>
              <w:bottom w:val="single" w:sz="4" w:space="0" w:color="auto"/>
              <w:right w:val="single" w:sz="4" w:space="0" w:color="auto"/>
            </w:tcBorders>
            <w:shd w:val="clear" w:color="000000" w:fill="D9D9D9"/>
            <w:vAlign w:val="center"/>
            <w:hideMark/>
          </w:tcPr>
          <w:p w14:paraId="1643382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Education and Childrens Services Central Costs</w:t>
            </w:r>
          </w:p>
        </w:tc>
        <w:tc>
          <w:tcPr>
            <w:tcW w:w="939" w:type="dxa"/>
            <w:tcBorders>
              <w:top w:val="nil"/>
              <w:left w:val="nil"/>
              <w:bottom w:val="single" w:sz="4" w:space="0" w:color="auto"/>
              <w:right w:val="single" w:sz="4" w:space="0" w:color="auto"/>
            </w:tcBorders>
            <w:shd w:val="clear" w:color="auto" w:fill="auto"/>
            <w:vAlign w:val="center"/>
            <w:hideMark/>
          </w:tcPr>
          <w:p w14:paraId="2BCF257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-5.901</w:t>
            </w:r>
          </w:p>
        </w:tc>
        <w:tc>
          <w:tcPr>
            <w:tcW w:w="1050" w:type="dxa"/>
            <w:tcBorders>
              <w:top w:val="nil"/>
              <w:left w:val="nil"/>
              <w:bottom w:val="single" w:sz="4" w:space="0" w:color="auto"/>
              <w:right w:val="single" w:sz="4" w:space="0" w:color="auto"/>
            </w:tcBorders>
            <w:shd w:val="clear" w:color="auto" w:fill="auto"/>
            <w:vAlign w:val="center"/>
            <w:hideMark/>
          </w:tcPr>
          <w:p w14:paraId="44DCF72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-5.479</w:t>
            </w:r>
          </w:p>
        </w:tc>
        <w:tc>
          <w:tcPr>
            <w:tcW w:w="1063" w:type="dxa"/>
            <w:tcBorders>
              <w:top w:val="nil"/>
              <w:left w:val="nil"/>
              <w:bottom w:val="single" w:sz="4" w:space="0" w:color="auto"/>
              <w:right w:val="single" w:sz="4" w:space="0" w:color="auto"/>
            </w:tcBorders>
            <w:shd w:val="clear" w:color="000000" w:fill="D9D9D9"/>
            <w:vAlign w:val="center"/>
            <w:hideMark/>
          </w:tcPr>
          <w:p w14:paraId="6C02AAD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0.422</w:t>
            </w:r>
          </w:p>
        </w:tc>
        <w:tc>
          <w:tcPr>
            <w:tcW w:w="1050" w:type="dxa"/>
            <w:tcBorders>
              <w:top w:val="nil"/>
              <w:left w:val="nil"/>
              <w:bottom w:val="single" w:sz="4" w:space="0" w:color="auto"/>
              <w:right w:val="single" w:sz="4" w:space="0" w:color="auto"/>
            </w:tcBorders>
            <w:shd w:val="clear" w:color="auto" w:fill="auto"/>
            <w:vAlign w:val="center"/>
            <w:hideMark/>
          </w:tcPr>
          <w:p w14:paraId="3D602CB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7.15%</w:t>
            </w:r>
          </w:p>
        </w:tc>
        <w:tc>
          <w:tcPr>
            <w:tcW w:w="1233" w:type="dxa"/>
            <w:tcBorders>
              <w:top w:val="nil"/>
              <w:left w:val="nil"/>
              <w:bottom w:val="single" w:sz="4" w:space="0" w:color="auto"/>
              <w:right w:val="single" w:sz="4" w:space="0" w:color="auto"/>
            </w:tcBorders>
            <w:shd w:val="clear" w:color="000000" w:fill="D9D9D9"/>
            <w:vAlign w:val="center"/>
            <w:hideMark/>
          </w:tcPr>
          <w:p w14:paraId="2D9FDD51"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0.422</w:t>
            </w:r>
          </w:p>
        </w:tc>
      </w:tr>
      <w:tr w:rsidR="000F78F1" w:rsidRPr="000F78F1" w14:paraId="0B248265" w14:textId="77777777" w:rsidTr="00C11DAC">
        <w:trPr>
          <w:trHeight w:val="317"/>
        </w:trPr>
        <w:tc>
          <w:tcPr>
            <w:tcW w:w="3864" w:type="dxa"/>
            <w:tcBorders>
              <w:top w:val="nil"/>
              <w:left w:val="single" w:sz="8" w:space="0" w:color="auto"/>
              <w:bottom w:val="single" w:sz="8" w:space="0" w:color="auto"/>
              <w:right w:val="single" w:sz="4" w:space="0" w:color="auto"/>
            </w:tcBorders>
            <w:shd w:val="clear" w:color="000000" w:fill="D9D9D9"/>
            <w:vAlign w:val="center"/>
            <w:hideMark/>
          </w:tcPr>
          <w:p w14:paraId="640794A4"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Education and Childrens Services</w:t>
            </w:r>
          </w:p>
        </w:tc>
        <w:tc>
          <w:tcPr>
            <w:tcW w:w="939" w:type="dxa"/>
            <w:tcBorders>
              <w:top w:val="nil"/>
              <w:left w:val="nil"/>
              <w:bottom w:val="single" w:sz="8" w:space="0" w:color="auto"/>
              <w:right w:val="single" w:sz="4" w:space="0" w:color="auto"/>
            </w:tcBorders>
            <w:shd w:val="clear" w:color="000000" w:fill="D9D9D9"/>
            <w:vAlign w:val="center"/>
            <w:hideMark/>
          </w:tcPr>
          <w:p w14:paraId="11DE45E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9.114</w:t>
            </w:r>
          </w:p>
        </w:tc>
        <w:tc>
          <w:tcPr>
            <w:tcW w:w="1050" w:type="dxa"/>
            <w:tcBorders>
              <w:top w:val="nil"/>
              <w:left w:val="nil"/>
              <w:bottom w:val="single" w:sz="8" w:space="0" w:color="auto"/>
              <w:right w:val="single" w:sz="4" w:space="0" w:color="auto"/>
            </w:tcBorders>
            <w:shd w:val="clear" w:color="000000" w:fill="D9D9D9"/>
            <w:vAlign w:val="center"/>
            <w:hideMark/>
          </w:tcPr>
          <w:p w14:paraId="172B643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9.534</w:t>
            </w:r>
          </w:p>
        </w:tc>
        <w:tc>
          <w:tcPr>
            <w:tcW w:w="1063" w:type="dxa"/>
            <w:tcBorders>
              <w:top w:val="nil"/>
              <w:left w:val="nil"/>
              <w:bottom w:val="single" w:sz="8" w:space="0" w:color="auto"/>
              <w:right w:val="single" w:sz="4" w:space="0" w:color="auto"/>
            </w:tcBorders>
            <w:shd w:val="clear" w:color="000000" w:fill="D9D9D9"/>
            <w:vAlign w:val="center"/>
            <w:hideMark/>
          </w:tcPr>
          <w:p w14:paraId="76B1450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0.420</w:t>
            </w:r>
          </w:p>
        </w:tc>
        <w:tc>
          <w:tcPr>
            <w:tcW w:w="1050" w:type="dxa"/>
            <w:tcBorders>
              <w:top w:val="nil"/>
              <w:left w:val="nil"/>
              <w:bottom w:val="single" w:sz="8" w:space="0" w:color="auto"/>
              <w:right w:val="single" w:sz="4" w:space="0" w:color="auto"/>
            </w:tcBorders>
            <w:shd w:val="clear" w:color="000000" w:fill="D9D9D9"/>
            <w:vAlign w:val="center"/>
            <w:hideMark/>
          </w:tcPr>
          <w:p w14:paraId="09B2520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4.61%</w:t>
            </w:r>
          </w:p>
        </w:tc>
        <w:tc>
          <w:tcPr>
            <w:tcW w:w="1233" w:type="dxa"/>
            <w:tcBorders>
              <w:top w:val="nil"/>
              <w:left w:val="nil"/>
              <w:bottom w:val="single" w:sz="8" w:space="0" w:color="auto"/>
              <w:right w:val="single" w:sz="4" w:space="0" w:color="auto"/>
            </w:tcBorders>
            <w:shd w:val="clear" w:color="000000" w:fill="D9D9D9"/>
            <w:vAlign w:val="center"/>
            <w:hideMark/>
          </w:tcPr>
          <w:p w14:paraId="19025FD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0.560</w:t>
            </w:r>
          </w:p>
        </w:tc>
      </w:tr>
      <w:tr w:rsidR="000F78F1" w:rsidRPr="000F78F1" w14:paraId="26DDAC93" w14:textId="77777777" w:rsidTr="00C11DAC">
        <w:trPr>
          <w:trHeight w:val="302"/>
        </w:trPr>
        <w:tc>
          <w:tcPr>
            <w:tcW w:w="3864" w:type="dxa"/>
            <w:tcBorders>
              <w:top w:val="single" w:sz="4" w:space="0" w:color="auto"/>
              <w:left w:val="single" w:sz="8" w:space="0" w:color="auto"/>
              <w:bottom w:val="single" w:sz="4" w:space="0" w:color="auto"/>
              <w:right w:val="single" w:sz="4" w:space="0" w:color="auto"/>
            </w:tcBorders>
            <w:shd w:val="clear" w:color="auto" w:fill="auto"/>
            <w:vAlign w:val="center"/>
          </w:tcPr>
          <w:p w14:paraId="12AB1FC1" w14:textId="77777777" w:rsidR="000F78F1" w:rsidRPr="000F78F1" w:rsidRDefault="000F78F1" w:rsidP="000F78F1">
            <w:pPr>
              <w:autoSpaceDE/>
              <w:autoSpaceDN/>
              <w:adjustRightInd/>
              <w:spacing w:after="0"/>
              <w:jc w:val="left"/>
              <w:rPr>
                <w:rFonts w:eastAsia="Times New Roman" w:cs="Arial"/>
                <w:sz w:val="20"/>
                <w:szCs w:val="20"/>
                <w:lang w:eastAsia="en-GB"/>
              </w:rPr>
            </w:pPr>
          </w:p>
        </w:tc>
        <w:tc>
          <w:tcPr>
            <w:tcW w:w="939" w:type="dxa"/>
            <w:tcBorders>
              <w:top w:val="single" w:sz="4" w:space="0" w:color="auto"/>
              <w:left w:val="nil"/>
              <w:bottom w:val="single" w:sz="4" w:space="0" w:color="auto"/>
              <w:right w:val="single" w:sz="4" w:space="0" w:color="auto"/>
            </w:tcBorders>
            <w:shd w:val="clear" w:color="auto" w:fill="auto"/>
            <w:vAlign w:val="center"/>
          </w:tcPr>
          <w:p w14:paraId="49EDF865"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95F06E5"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063" w:type="dxa"/>
            <w:tcBorders>
              <w:top w:val="single" w:sz="4" w:space="0" w:color="auto"/>
              <w:left w:val="nil"/>
              <w:bottom w:val="single" w:sz="4" w:space="0" w:color="auto"/>
              <w:right w:val="single" w:sz="4" w:space="0" w:color="auto"/>
            </w:tcBorders>
            <w:shd w:val="clear" w:color="auto" w:fill="auto"/>
            <w:vAlign w:val="center"/>
          </w:tcPr>
          <w:p w14:paraId="5D984E9D"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70CCB8E" w14:textId="77777777" w:rsidR="000F78F1" w:rsidRPr="000F78F1" w:rsidRDefault="000F78F1" w:rsidP="000F78F1">
            <w:pPr>
              <w:autoSpaceDE/>
              <w:autoSpaceDN/>
              <w:adjustRightInd/>
              <w:spacing w:after="0"/>
              <w:jc w:val="right"/>
              <w:rPr>
                <w:rFonts w:eastAsia="Times New Roman" w:cs="Arial"/>
                <w:sz w:val="20"/>
                <w:szCs w:val="20"/>
                <w:lang w:eastAsia="en-GB"/>
              </w:rPr>
            </w:pPr>
          </w:p>
        </w:tc>
        <w:tc>
          <w:tcPr>
            <w:tcW w:w="1233" w:type="dxa"/>
            <w:tcBorders>
              <w:top w:val="single" w:sz="4" w:space="0" w:color="auto"/>
              <w:left w:val="nil"/>
              <w:bottom w:val="single" w:sz="4" w:space="0" w:color="auto"/>
              <w:right w:val="single" w:sz="4" w:space="0" w:color="auto"/>
            </w:tcBorders>
            <w:shd w:val="clear" w:color="auto" w:fill="auto"/>
            <w:vAlign w:val="center"/>
          </w:tcPr>
          <w:p w14:paraId="00E9DD5B"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p>
        </w:tc>
      </w:tr>
      <w:tr w:rsidR="000F78F1" w:rsidRPr="000F78F1" w14:paraId="48F56659" w14:textId="77777777" w:rsidTr="00C11DAC">
        <w:trPr>
          <w:trHeight w:val="302"/>
        </w:trPr>
        <w:tc>
          <w:tcPr>
            <w:tcW w:w="386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13245F1"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Policy Info   Commission Start Well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0B1F8E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1.948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6A720B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2.020</w:t>
            </w:r>
          </w:p>
        </w:tc>
        <w:tc>
          <w:tcPr>
            <w:tcW w:w="1063" w:type="dxa"/>
            <w:tcBorders>
              <w:top w:val="single" w:sz="4" w:space="0" w:color="auto"/>
              <w:left w:val="nil"/>
              <w:bottom w:val="single" w:sz="4" w:space="0" w:color="auto"/>
              <w:right w:val="single" w:sz="4" w:space="0" w:color="auto"/>
            </w:tcBorders>
            <w:shd w:val="clear" w:color="000000" w:fill="D9D9D9"/>
            <w:vAlign w:val="center"/>
            <w:hideMark/>
          </w:tcPr>
          <w:p w14:paraId="349E8CF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0.072</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192D3B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3.70%</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14:paraId="38D11A9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0.030</w:t>
            </w:r>
          </w:p>
        </w:tc>
      </w:tr>
      <w:tr w:rsidR="000F78F1" w:rsidRPr="000F78F1" w14:paraId="5C5D62E2" w14:textId="77777777" w:rsidTr="00C11DAC">
        <w:trPr>
          <w:trHeight w:val="529"/>
        </w:trPr>
        <w:tc>
          <w:tcPr>
            <w:tcW w:w="3864" w:type="dxa"/>
            <w:tcBorders>
              <w:top w:val="nil"/>
              <w:left w:val="single" w:sz="8" w:space="0" w:color="auto"/>
              <w:bottom w:val="single" w:sz="8" w:space="0" w:color="auto"/>
              <w:right w:val="single" w:sz="4" w:space="0" w:color="auto"/>
            </w:tcBorders>
            <w:shd w:val="clear" w:color="000000" w:fill="D9D9D9"/>
            <w:vAlign w:val="center"/>
            <w:hideMark/>
          </w:tcPr>
          <w:p w14:paraId="09644239"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Policy Commissioning and Childrens Health</w:t>
            </w:r>
          </w:p>
        </w:tc>
        <w:tc>
          <w:tcPr>
            <w:tcW w:w="939" w:type="dxa"/>
            <w:tcBorders>
              <w:top w:val="nil"/>
              <w:left w:val="nil"/>
              <w:bottom w:val="single" w:sz="8" w:space="0" w:color="auto"/>
              <w:right w:val="single" w:sz="4" w:space="0" w:color="auto"/>
            </w:tcBorders>
            <w:shd w:val="clear" w:color="000000" w:fill="D9D9D9"/>
            <w:vAlign w:val="center"/>
            <w:hideMark/>
          </w:tcPr>
          <w:p w14:paraId="664D28A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1.948</w:t>
            </w:r>
          </w:p>
        </w:tc>
        <w:tc>
          <w:tcPr>
            <w:tcW w:w="1050" w:type="dxa"/>
            <w:tcBorders>
              <w:top w:val="nil"/>
              <w:left w:val="nil"/>
              <w:bottom w:val="single" w:sz="8" w:space="0" w:color="auto"/>
              <w:right w:val="single" w:sz="4" w:space="0" w:color="auto"/>
            </w:tcBorders>
            <w:shd w:val="clear" w:color="000000" w:fill="D9D9D9"/>
            <w:vAlign w:val="center"/>
            <w:hideMark/>
          </w:tcPr>
          <w:p w14:paraId="391E2F8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2.020</w:t>
            </w:r>
          </w:p>
        </w:tc>
        <w:tc>
          <w:tcPr>
            <w:tcW w:w="1063" w:type="dxa"/>
            <w:tcBorders>
              <w:top w:val="nil"/>
              <w:left w:val="nil"/>
              <w:bottom w:val="single" w:sz="8" w:space="0" w:color="auto"/>
              <w:right w:val="single" w:sz="4" w:space="0" w:color="auto"/>
            </w:tcBorders>
            <w:shd w:val="clear" w:color="000000" w:fill="D9D9D9"/>
            <w:vAlign w:val="center"/>
            <w:hideMark/>
          </w:tcPr>
          <w:p w14:paraId="5611BD6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0.072</w:t>
            </w:r>
          </w:p>
        </w:tc>
        <w:tc>
          <w:tcPr>
            <w:tcW w:w="1050" w:type="dxa"/>
            <w:tcBorders>
              <w:top w:val="nil"/>
              <w:left w:val="nil"/>
              <w:bottom w:val="single" w:sz="8" w:space="0" w:color="auto"/>
              <w:right w:val="single" w:sz="4" w:space="0" w:color="auto"/>
            </w:tcBorders>
            <w:shd w:val="clear" w:color="000000" w:fill="D9D9D9"/>
            <w:vAlign w:val="center"/>
            <w:hideMark/>
          </w:tcPr>
          <w:p w14:paraId="019C328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3.70%</w:t>
            </w:r>
          </w:p>
        </w:tc>
        <w:tc>
          <w:tcPr>
            <w:tcW w:w="1233" w:type="dxa"/>
            <w:tcBorders>
              <w:top w:val="nil"/>
              <w:left w:val="nil"/>
              <w:bottom w:val="single" w:sz="8" w:space="0" w:color="auto"/>
              <w:right w:val="single" w:sz="4" w:space="0" w:color="auto"/>
            </w:tcBorders>
            <w:shd w:val="clear" w:color="000000" w:fill="D9D9D9"/>
            <w:vAlign w:val="center"/>
            <w:hideMark/>
          </w:tcPr>
          <w:p w14:paraId="604BF0AF"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0.030</w:t>
            </w:r>
          </w:p>
        </w:tc>
      </w:tr>
      <w:tr w:rsidR="000F78F1" w:rsidRPr="000F78F1" w14:paraId="01983FB6" w14:textId="77777777" w:rsidTr="00C11DAC">
        <w:trPr>
          <w:trHeight w:val="359"/>
        </w:trPr>
        <w:tc>
          <w:tcPr>
            <w:tcW w:w="3864" w:type="dxa"/>
            <w:tcBorders>
              <w:top w:val="nil"/>
              <w:left w:val="single" w:sz="8" w:space="0" w:color="auto"/>
              <w:bottom w:val="single" w:sz="8" w:space="0" w:color="auto"/>
              <w:right w:val="single" w:sz="4" w:space="0" w:color="auto"/>
            </w:tcBorders>
            <w:shd w:val="clear" w:color="auto" w:fill="auto"/>
            <w:vAlign w:val="center"/>
          </w:tcPr>
          <w:p w14:paraId="05A76055"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01274365"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5A513B1A"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63" w:type="dxa"/>
            <w:tcBorders>
              <w:top w:val="nil"/>
              <w:left w:val="nil"/>
              <w:bottom w:val="single" w:sz="8" w:space="0" w:color="auto"/>
              <w:right w:val="single" w:sz="4" w:space="0" w:color="auto"/>
            </w:tcBorders>
            <w:shd w:val="clear" w:color="auto" w:fill="auto"/>
            <w:vAlign w:val="center"/>
          </w:tcPr>
          <w:p w14:paraId="7955443C"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5727BDC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33" w:type="dxa"/>
            <w:tcBorders>
              <w:top w:val="nil"/>
              <w:left w:val="nil"/>
              <w:bottom w:val="single" w:sz="8" w:space="0" w:color="auto"/>
              <w:right w:val="single" w:sz="4" w:space="0" w:color="auto"/>
            </w:tcBorders>
            <w:shd w:val="clear" w:color="auto" w:fill="auto"/>
            <w:vAlign w:val="center"/>
          </w:tcPr>
          <w:p w14:paraId="2AA7C75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81D5CC5" w14:textId="77777777" w:rsidTr="00C11DAC">
        <w:trPr>
          <w:trHeight w:val="317"/>
        </w:trPr>
        <w:tc>
          <w:tcPr>
            <w:tcW w:w="386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48D0E56F" w14:textId="77777777" w:rsidR="000F78F1" w:rsidRPr="000F78F1" w:rsidRDefault="000F78F1" w:rsidP="000F78F1">
            <w:pPr>
              <w:autoSpaceDE/>
              <w:autoSpaceDN/>
              <w:adjustRightInd/>
              <w:spacing w:after="0"/>
              <w:jc w:val="left"/>
              <w:rPr>
                <w:rFonts w:eastAsia="Times New Roman" w:cs="Arial"/>
                <w:b/>
                <w:bCs/>
                <w:lang w:eastAsia="en-GB"/>
              </w:rPr>
            </w:pPr>
            <w:r w:rsidRPr="000F78F1">
              <w:rPr>
                <w:rFonts w:eastAsia="Times New Roman" w:cs="Arial"/>
                <w:b/>
                <w:bCs/>
                <w:lang w:eastAsia="en-GB"/>
              </w:rPr>
              <w:t>Total Education and Children's Services</w:t>
            </w:r>
          </w:p>
        </w:tc>
        <w:tc>
          <w:tcPr>
            <w:tcW w:w="939" w:type="dxa"/>
            <w:tcBorders>
              <w:top w:val="single" w:sz="4" w:space="0" w:color="auto"/>
              <w:left w:val="nil"/>
              <w:bottom w:val="single" w:sz="8" w:space="0" w:color="auto"/>
              <w:right w:val="single" w:sz="4" w:space="0" w:color="auto"/>
            </w:tcBorders>
            <w:shd w:val="clear" w:color="000000" w:fill="D9D9D9"/>
            <w:vAlign w:val="center"/>
            <w:hideMark/>
          </w:tcPr>
          <w:p w14:paraId="10FEB5A2"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229.376</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168AD2C8"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240.082</w:t>
            </w:r>
          </w:p>
        </w:tc>
        <w:tc>
          <w:tcPr>
            <w:tcW w:w="1063" w:type="dxa"/>
            <w:tcBorders>
              <w:top w:val="single" w:sz="4" w:space="0" w:color="auto"/>
              <w:left w:val="nil"/>
              <w:bottom w:val="single" w:sz="8" w:space="0" w:color="auto"/>
              <w:right w:val="single" w:sz="4" w:space="0" w:color="auto"/>
            </w:tcBorders>
            <w:shd w:val="clear" w:color="000000" w:fill="D9D9D9"/>
            <w:vAlign w:val="center"/>
            <w:hideMark/>
          </w:tcPr>
          <w:p w14:paraId="66C50EB5"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10.706</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30D21D9B"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4.67%</w:t>
            </w:r>
          </w:p>
        </w:tc>
        <w:tc>
          <w:tcPr>
            <w:tcW w:w="1233" w:type="dxa"/>
            <w:tcBorders>
              <w:top w:val="single" w:sz="4" w:space="0" w:color="auto"/>
              <w:left w:val="nil"/>
              <w:bottom w:val="single" w:sz="8" w:space="0" w:color="auto"/>
              <w:right w:val="single" w:sz="4" w:space="0" w:color="auto"/>
            </w:tcBorders>
            <w:shd w:val="clear" w:color="000000" w:fill="D9D9D9"/>
            <w:vAlign w:val="center"/>
            <w:hideMark/>
          </w:tcPr>
          <w:p w14:paraId="07C693B6"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12.753</w:t>
            </w:r>
          </w:p>
        </w:tc>
      </w:tr>
    </w:tbl>
    <w:p w14:paraId="497CDF7C" w14:textId="77777777" w:rsidR="000F78F1" w:rsidRPr="000F78F1" w:rsidRDefault="000F78F1" w:rsidP="000F78F1">
      <w:pPr>
        <w:tabs>
          <w:tab w:val="left" w:pos="0"/>
          <w:tab w:val="left" w:pos="1418"/>
        </w:tabs>
        <w:spacing w:after="0"/>
        <w:ind w:right="217"/>
        <w:contextualSpacing/>
        <w:rPr>
          <w:rFonts w:cs="Arial"/>
          <w:highlight w:val="yellow"/>
        </w:rPr>
      </w:pPr>
    </w:p>
    <w:p w14:paraId="569683CB" w14:textId="77777777" w:rsidR="000F78F1" w:rsidRPr="000F78F1" w:rsidRDefault="000F78F1" w:rsidP="000F78F1">
      <w:pPr>
        <w:tabs>
          <w:tab w:val="left" w:pos="1418"/>
        </w:tabs>
        <w:spacing w:after="0"/>
        <w:contextualSpacing/>
        <w:rPr>
          <w:rFonts w:cs="Arial"/>
        </w:rPr>
      </w:pPr>
      <w:r w:rsidRPr="000F78F1">
        <w:rPr>
          <w:rFonts w:cs="Arial"/>
        </w:rPr>
        <w:t xml:space="preserve">The total net approved budget for Education and Children's Services (ECS) in 2022/23 is £229.376m.  As at the end of September 2022, the service is forecast to overspend by £10.706m.  This is a reduction in overspend of £2.047m compared to Quarter 1. </w:t>
      </w:r>
    </w:p>
    <w:p w14:paraId="674AE43A" w14:textId="77777777" w:rsidR="000F78F1" w:rsidRPr="000F78F1" w:rsidRDefault="000F78F1" w:rsidP="000F78F1">
      <w:pPr>
        <w:tabs>
          <w:tab w:val="left" w:pos="1418"/>
        </w:tabs>
        <w:spacing w:after="0"/>
        <w:contextualSpacing/>
        <w:rPr>
          <w:rFonts w:cs="Arial"/>
        </w:rPr>
      </w:pPr>
    </w:p>
    <w:p w14:paraId="3F226AF9" w14:textId="77777777" w:rsidR="000F78F1" w:rsidRPr="000F78F1" w:rsidRDefault="000F78F1" w:rsidP="000F78F1">
      <w:pPr>
        <w:tabs>
          <w:tab w:val="left" w:pos="1418"/>
        </w:tabs>
        <w:spacing w:after="0"/>
        <w:contextualSpacing/>
        <w:rPr>
          <w:rFonts w:cs="Arial"/>
        </w:rPr>
      </w:pPr>
      <w:r w:rsidRPr="000F78F1">
        <w:rPr>
          <w:rFonts w:cs="Arial"/>
        </w:rPr>
        <w:t>Overall, forecast overspends are mainly due to increases in placement costs over the last 12 months and in particular the number of children placed in agency residential accommodation and increases in the average cost of these placements, as well as under recovery of income across various services.  Whilst these pressures are offset by underspends on staff due to vacancies and non-staff costs across several services, the staff forecast does include the recently agreed pay award of £1,925 on basic pay per FTE which is higher than what was budgeted for and the reduction to national insurance from November 2022.</w:t>
      </w:r>
    </w:p>
    <w:p w14:paraId="5A2FAD9D" w14:textId="77777777" w:rsidR="000F78F1" w:rsidRDefault="000F78F1" w:rsidP="000F78F1">
      <w:pPr>
        <w:spacing w:after="0"/>
        <w:rPr>
          <w:rFonts w:cs="Arial"/>
          <w:color w:val="FF0000"/>
        </w:rPr>
      </w:pPr>
    </w:p>
    <w:p w14:paraId="25088ECC" w14:textId="03E097E4" w:rsidR="000F78F1" w:rsidRPr="000F78F1" w:rsidRDefault="000F78F1" w:rsidP="000F78F1">
      <w:pPr>
        <w:spacing w:after="0"/>
        <w:rPr>
          <w:rFonts w:cs="Arial"/>
          <w:b/>
          <w:bCs/>
        </w:rPr>
      </w:pPr>
      <w:r w:rsidRPr="000F78F1">
        <w:rPr>
          <w:rFonts w:cs="Arial"/>
          <w:b/>
          <w:bCs/>
        </w:rPr>
        <w:lastRenderedPageBreak/>
        <w:t>Children's Social Care – Forecast overspend £10.157m</w:t>
      </w:r>
    </w:p>
    <w:p w14:paraId="545AFC67" w14:textId="77777777" w:rsidR="000F78F1" w:rsidRPr="000F78F1" w:rsidRDefault="000F78F1" w:rsidP="000F78F1">
      <w:pPr>
        <w:spacing w:after="0"/>
        <w:rPr>
          <w:rFonts w:cs="Arial"/>
        </w:rPr>
      </w:pPr>
    </w:p>
    <w:p w14:paraId="4191E285" w14:textId="77777777" w:rsidR="000F78F1" w:rsidRPr="000F78F1" w:rsidRDefault="000F78F1" w:rsidP="000F78F1">
      <w:pPr>
        <w:spacing w:after="0"/>
        <w:rPr>
          <w:rFonts w:cs="Arial"/>
        </w:rPr>
      </w:pPr>
      <w:r w:rsidRPr="000F78F1">
        <w:rPr>
          <w:rFonts w:cs="Arial"/>
        </w:rPr>
        <w:t xml:space="preserve">The largest areas of spend within the Children's Social Care Service are for residential and fostering placements for children in our care and social work teams, with activity cutting across </w:t>
      </w:r>
      <w:proofErr w:type="gramStart"/>
      <w:r w:rsidRPr="000F78F1">
        <w:rPr>
          <w:rFonts w:cs="Arial"/>
        </w:rPr>
        <w:t>a number of</w:t>
      </w:r>
      <w:proofErr w:type="gramEnd"/>
      <w:r w:rsidRPr="000F78F1">
        <w:rPr>
          <w:rFonts w:cs="Arial"/>
        </w:rPr>
        <w:t xml:space="preserve"> service areas which is forecast to overspend by c£6.700m.   </w:t>
      </w:r>
    </w:p>
    <w:p w14:paraId="14ABDFC3" w14:textId="77777777" w:rsidR="000F78F1" w:rsidRPr="000F78F1" w:rsidRDefault="000F78F1" w:rsidP="000F78F1">
      <w:pPr>
        <w:spacing w:after="0"/>
        <w:rPr>
          <w:rFonts w:cs="Arial"/>
          <w:highlight w:val="yellow"/>
        </w:rPr>
      </w:pPr>
    </w:p>
    <w:p w14:paraId="20B3EE58" w14:textId="4D9471C3" w:rsidR="000F78F1" w:rsidRPr="000F78F1" w:rsidRDefault="000F78F1" w:rsidP="000F78F1">
      <w:pPr>
        <w:spacing w:after="0"/>
        <w:rPr>
          <w:rFonts w:cs="Arial"/>
        </w:rPr>
      </w:pPr>
      <w:r w:rsidRPr="000F78F1">
        <w:rPr>
          <w:rFonts w:cs="Arial"/>
        </w:rPr>
        <w:t>Overall</w:t>
      </w:r>
      <w:r w:rsidR="00A822A0">
        <w:rPr>
          <w:rFonts w:cs="Arial"/>
        </w:rPr>
        <w:t>,</w:t>
      </w:r>
      <w:r w:rsidRPr="000F78F1">
        <w:rPr>
          <w:rFonts w:cs="Arial"/>
        </w:rPr>
        <w:t xml:space="preserve"> there has been a decrease in the number of children looked after and on average the number of children entering care has fallen since September 2020 from 2,085 (excluding children with disabilities) to 1,859 in September 2022, a reduction of 226 (c11%) with most of this reduction occurring since January 2021.</w:t>
      </w:r>
    </w:p>
    <w:p w14:paraId="31CB69C8" w14:textId="77777777" w:rsidR="000F78F1" w:rsidRPr="000F78F1" w:rsidRDefault="000F78F1" w:rsidP="000F78F1">
      <w:pPr>
        <w:spacing w:after="0"/>
        <w:rPr>
          <w:rFonts w:cs="Arial"/>
        </w:rPr>
      </w:pPr>
    </w:p>
    <w:p w14:paraId="63A5DFE4" w14:textId="77777777" w:rsidR="000F78F1" w:rsidRPr="000F78F1" w:rsidRDefault="000F78F1" w:rsidP="000F78F1">
      <w:pPr>
        <w:spacing w:after="0"/>
        <w:rPr>
          <w:rFonts w:cs="Arial"/>
        </w:rPr>
      </w:pPr>
      <w:r w:rsidRPr="000F78F1">
        <w:rPr>
          <w:rFonts w:cs="Arial"/>
        </w:rPr>
        <w:t>The fall in numbers over this period is largely due to the impact of the implementation of Lancashire Family Safeguarding in February 2021 and the pandemic with a reduction in both referrals and new assessments started over the same period.  Whilst there was some early delivery of Lancashire Family Safeguarding savings in 2021/22 the number of new entrants aged 0-12 has been above the level required to deliver recurring savings over the last 6 months and assuming they continue at this level an under delivery of savings of c£900,000 is expected in 2022/23.  Forecast delivery of savings has improved since Quarter 1 following a decrease in numbers of children aged 0-12 entering care in the last 2 months.</w:t>
      </w:r>
    </w:p>
    <w:p w14:paraId="6D8B1D8B" w14:textId="77777777" w:rsidR="000F78F1" w:rsidRPr="000F78F1" w:rsidRDefault="000F78F1" w:rsidP="000F78F1">
      <w:pPr>
        <w:spacing w:after="0"/>
        <w:rPr>
          <w:rFonts w:cs="Arial"/>
          <w:highlight w:val="yellow"/>
        </w:rPr>
      </w:pPr>
    </w:p>
    <w:p w14:paraId="0CF95709" w14:textId="77777777" w:rsidR="000F78F1" w:rsidRPr="000F78F1" w:rsidRDefault="000F78F1" w:rsidP="000F78F1">
      <w:pPr>
        <w:spacing w:after="0"/>
        <w:rPr>
          <w:rFonts w:cs="Arial"/>
        </w:rPr>
      </w:pPr>
      <w:r w:rsidRPr="000F78F1">
        <w:rPr>
          <w:rFonts w:cs="Arial"/>
        </w:rPr>
        <w:t>Whilst the total number of children looked after has fallen the cost of agency residential placements has increased significantly since September 2021, in part due to an increase in the number of children placed in agency residential placements, following a fall from mid-2020/21, but largely due to an increase in the average cost of these placements.</w:t>
      </w:r>
    </w:p>
    <w:p w14:paraId="548C995C" w14:textId="77777777" w:rsidR="000F78F1" w:rsidRPr="000F78F1" w:rsidRDefault="000F78F1" w:rsidP="000F78F1">
      <w:pPr>
        <w:spacing w:after="0"/>
        <w:rPr>
          <w:rFonts w:cs="Arial"/>
          <w:highlight w:val="yellow"/>
        </w:rPr>
      </w:pPr>
    </w:p>
    <w:p w14:paraId="30E434E4" w14:textId="77777777" w:rsidR="000F78F1" w:rsidRPr="000F78F1" w:rsidRDefault="000F78F1" w:rsidP="000F78F1">
      <w:pPr>
        <w:spacing w:after="0"/>
        <w:rPr>
          <w:rFonts w:cs="Arial"/>
        </w:rPr>
      </w:pPr>
      <w:r w:rsidRPr="000F78F1">
        <w:rPr>
          <w:rFonts w:cs="Arial"/>
        </w:rPr>
        <w:t xml:space="preserve">The forecast at Quarter 2 has improved by c£2.400m since Quarter 1 largely as result of a decrease in children looked after in September 2022. However, the forecast for 2022/23 assumes that costs will continue to increase broadly in line with average monthly increases during the last 3 months which is lower than the average monthly increase over the last 12 months suggesting demand increases are slowing down.  </w:t>
      </w:r>
    </w:p>
    <w:p w14:paraId="3DCDD9D5" w14:textId="77777777" w:rsidR="000F78F1" w:rsidRPr="000F78F1" w:rsidRDefault="000F78F1" w:rsidP="000F78F1">
      <w:pPr>
        <w:spacing w:after="0"/>
        <w:rPr>
          <w:rFonts w:cs="Arial"/>
        </w:rPr>
      </w:pPr>
    </w:p>
    <w:p w14:paraId="1D2A9367" w14:textId="77777777" w:rsidR="000F78F1" w:rsidRPr="000F78F1" w:rsidRDefault="000F78F1" w:rsidP="000F78F1">
      <w:pPr>
        <w:spacing w:after="0"/>
        <w:rPr>
          <w:rFonts w:cs="Arial"/>
        </w:rPr>
      </w:pPr>
      <w:r w:rsidRPr="000F78F1">
        <w:rPr>
          <w:rFonts w:cs="Arial"/>
        </w:rPr>
        <w:t>Forecast overspends on social work and other teams including staff related costs of c£3.139m are in part due to the use of agency and managed service staff to fill vacant posts.</w:t>
      </w:r>
    </w:p>
    <w:p w14:paraId="056593CA" w14:textId="77777777" w:rsidR="000F78F1" w:rsidRPr="000F78F1" w:rsidRDefault="000F78F1" w:rsidP="000F78F1">
      <w:pPr>
        <w:spacing w:after="0"/>
        <w:rPr>
          <w:rFonts w:cs="Arial"/>
        </w:rPr>
      </w:pPr>
    </w:p>
    <w:p w14:paraId="24E356CB" w14:textId="77777777" w:rsidR="000F78F1" w:rsidRPr="000F78F1" w:rsidRDefault="000F78F1" w:rsidP="000F78F1">
      <w:pPr>
        <w:spacing w:after="0"/>
        <w:rPr>
          <w:rFonts w:cs="Arial"/>
        </w:rPr>
      </w:pPr>
      <w:r w:rsidRPr="000F78F1">
        <w:rPr>
          <w:rFonts w:cs="Arial"/>
        </w:rPr>
        <w:t>The budget for the Children's Social Care Service also covers other allowances, payments and assistance to families which are forecast to overspend by c£400,000 the most significant of which are detailed below.  </w:t>
      </w:r>
    </w:p>
    <w:p w14:paraId="40857C3E" w14:textId="77777777" w:rsidR="000F78F1" w:rsidRPr="000F78F1" w:rsidRDefault="000F78F1" w:rsidP="000F78F1">
      <w:pPr>
        <w:spacing w:after="0"/>
        <w:rPr>
          <w:rFonts w:cs="Arial"/>
        </w:rPr>
      </w:pPr>
    </w:p>
    <w:p w14:paraId="5BFC2FD6" w14:textId="77777777" w:rsidR="000F78F1" w:rsidRPr="000F78F1" w:rsidRDefault="000F78F1" w:rsidP="000F78F1">
      <w:pPr>
        <w:numPr>
          <w:ilvl w:val="0"/>
          <w:numId w:val="9"/>
        </w:numPr>
        <w:adjustRightInd/>
        <w:spacing w:after="0" w:line="252" w:lineRule="auto"/>
        <w:rPr>
          <w:rFonts w:eastAsia="Times New Roman" w:cs="Arial"/>
        </w:rPr>
      </w:pPr>
      <w:r w:rsidRPr="000F78F1">
        <w:rPr>
          <w:rFonts w:eastAsia="Times New Roman" w:cs="Arial"/>
        </w:rPr>
        <w:t>Regular payments and assistance to families is forecast to overspend by c£1.280m which is a c15% increase on spend in 2021/22.</w:t>
      </w:r>
    </w:p>
    <w:p w14:paraId="74C4125C" w14:textId="77777777" w:rsidR="000F78F1" w:rsidRPr="000F78F1" w:rsidRDefault="000F78F1" w:rsidP="000F78F1">
      <w:pPr>
        <w:numPr>
          <w:ilvl w:val="0"/>
          <w:numId w:val="9"/>
        </w:numPr>
        <w:adjustRightInd/>
        <w:spacing w:after="0" w:line="252" w:lineRule="auto"/>
        <w:rPr>
          <w:rFonts w:eastAsia="Times New Roman" w:cs="Arial"/>
        </w:rPr>
      </w:pPr>
      <w:r w:rsidRPr="000F78F1">
        <w:rPr>
          <w:rFonts w:eastAsia="Times New Roman" w:cs="Arial"/>
        </w:rPr>
        <w:t>Leaving Care allowances are forecast to overspend by c£140,000.</w:t>
      </w:r>
    </w:p>
    <w:p w14:paraId="210149A9" w14:textId="77777777" w:rsidR="000F78F1" w:rsidRPr="000F78F1" w:rsidRDefault="000F78F1" w:rsidP="000F78F1">
      <w:pPr>
        <w:numPr>
          <w:ilvl w:val="0"/>
          <w:numId w:val="9"/>
        </w:numPr>
        <w:adjustRightInd/>
        <w:spacing w:after="0" w:line="252" w:lineRule="auto"/>
        <w:rPr>
          <w:rFonts w:eastAsia="Times New Roman" w:cs="Arial"/>
        </w:rPr>
      </w:pPr>
      <w:r w:rsidRPr="000F78F1">
        <w:rPr>
          <w:rFonts w:eastAsia="Times New Roman" w:cs="Arial"/>
        </w:rPr>
        <w:t xml:space="preserve">Special Guardianship Orders (SGO's) and Child arrangement orders (CAO's) are forecast to underspend by c£500,000 although there has been an </w:t>
      </w:r>
      <w:r w:rsidRPr="000F78F1">
        <w:rPr>
          <w:rFonts w:eastAsia="Times New Roman" w:cs="Arial"/>
        </w:rPr>
        <w:lastRenderedPageBreak/>
        <w:t xml:space="preserve">increase in spend of c£740,000 compared to 2021/22.  Spend on SGO's continues to increase by c9% per annum as it has done in previous years.  </w:t>
      </w:r>
    </w:p>
    <w:p w14:paraId="4973A426" w14:textId="77777777" w:rsidR="000F78F1" w:rsidRPr="000F78F1" w:rsidRDefault="000F78F1" w:rsidP="000F78F1">
      <w:pPr>
        <w:numPr>
          <w:ilvl w:val="0"/>
          <w:numId w:val="9"/>
        </w:numPr>
        <w:adjustRightInd/>
        <w:spacing w:after="0" w:line="252" w:lineRule="auto"/>
        <w:rPr>
          <w:rFonts w:eastAsia="Times New Roman" w:cs="Arial"/>
        </w:rPr>
      </w:pPr>
      <w:r w:rsidRPr="000F78F1">
        <w:rPr>
          <w:rFonts w:eastAsia="Times New Roman" w:cs="Arial"/>
        </w:rPr>
        <w:t xml:space="preserve">Forecast underspends of c£320,000 on staying put arrangements are broadly in line with 2021/22. </w:t>
      </w:r>
    </w:p>
    <w:p w14:paraId="746D11C7" w14:textId="77777777" w:rsidR="000F78F1" w:rsidRPr="000F78F1" w:rsidRDefault="000F78F1" w:rsidP="000F78F1">
      <w:pPr>
        <w:numPr>
          <w:ilvl w:val="0"/>
          <w:numId w:val="9"/>
        </w:numPr>
        <w:adjustRightInd/>
        <w:spacing w:after="0" w:line="252" w:lineRule="auto"/>
        <w:rPr>
          <w:rFonts w:eastAsia="Times New Roman" w:cs="Arial"/>
        </w:rPr>
      </w:pPr>
      <w:r w:rsidRPr="000F78F1">
        <w:rPr>
          <w:rFonts w:eastAsia="Times New Roman" w:cs="Arial"/>
        </w:rPr>
        <w:t xml:space="preserve">Adoption allowances are forecast to underspend by c£210,000 with spend also broadly in line with 2021/22. </w:t>
      </w:r>
    </w:p>
    <w:p w14:paraId="1750068B" w14:textId="77777777" w:rsidR="000F78F1" w:rsidRPr="000F78F1" w:rsidRDefault="000F78F1" w:rsidP="000F78F1">
      <w:pPr>
        <w:spacing w:after="0"/>
        <w:contextualSpacing/>
        <w:rPr>
          <w:rFonts w:eastAsia="Times New Roman" w:cs="Arial"/>
        </w:rPr>
      </w:pPr>
    </w:p>
    <w:p w14:paraId="7417B0B9" w14:textId="77777777" w:rsidR="000F78F1" w:rsidRPr="000F78F1" w:rsidRDefault="000F78F1" w:rsidP="000F78F1">
      <w:pPr>
        <w:spacing w:after="0"/>
        <w:contextualSpacing/>
        <w:rPr>
          <w:rFonts w:cs="Arial"/>
          <w:b/>
        </w:rPr>
      </w:pPr>
      <w:r w:rsidRPr="000F78F1">
        <w:rPr>
          <w:rFonts w:cs="Arial"/>
          <w:b/>
        </w:rPr>
        <w:t>Education and Skills – Forecast ov</w:t>
      </w:r>
      <w:r w:rsidRPr="000F78F1">
        <w:rPr>
          <w:rFonts w:cs="Arial"/>
          <w:b/>
          <w:bCs/>
        </w:rPr>
        <w:t>erspend £0.057m</w:t>
      </w:r>
    </w:p>
    <w:p w14:paraId="4BE3AC2E" w14:textId="77777777" w:rsidR="000F78F1" w:rsidRPr="000F78F1" w:rsidRDefault="000F78F1" w:rsidP="000F78F1">
      <w:pPr>
        <w:spacing w:after="0"/>
        <w:contextualSpacing/>
        <w:rPr>
          <w:rFonts w:cs="Arial"/>
          <w:b/>
        </w:rPr>
      </w:pPr>
    </w:p>
    <w:p w14:paraId="78514E07" w14:textId="77777777" w:rsidR="000F78F1" w:rsidRPr="000F78F1" w:rsidRDefault="000F78F1" w:rsidP="000F78F1">
      <w:pPr>
        <w:spacing w:after="0"/>
        <w:contextualSpacing/>
        <w:rPr>
          <w:rFonts w:cs="Arial"/>
          <w:b/>
        </w:rPr>
      </w:pPr>
      <w:r w:rsidRPr="000F78F1">
        <w:rPr>
          <w:rFonts w:cs="Arial"/>
          <w:b/>
        </w:rPr>
        <w:t>Children Family and Wellbeing Service (CFW) – Forecast underspend £1.662m</w:t>
      </w:r>
    </w:p>
    <w:p w14:paraId="622B6345" w14:textId="77777777" w:rsidR="000F78F1" w:rsidRPr="000F78F1" w:rsidRDefault="000F78F1" w:rsidP="000F78F1">
      <w:pPr>
        <w:spacing w:after="0"/>
        <w:contextualSpacing/>
        <w:rPr>
          <w:rFonts w:eastAsia="Times New Roman" w:cs="Arial"/>
        </w:rPr>
      </w:pPr>
    </w:p>
    <w:p w14:paraId="358C2A4E" w14:textId="77777777" w:rsidR="000F78F1" w:rsidRPr="000F78F1" w:rsidRDefault="000F78F1" w:rsidP="000F78F1">
      <w:pPr>
        <w:spacing w:after="0"/>
        <w:contextualSpacing/>
        <w:rPr>
          <w:rFonts w:eastAsia="Times New Roman" w:cs="Arial"/>
        </w:rPr>
      </w:pPr>
      <w:r w:rsidRPr="000F78F1">
        <w:rPr>
          <w:rFonts w:eastAsia="Times New Roman" w:cs="Arial"/>
        </w:rPr>
        <w:t xml:space="preserve">Forecast underspends of c£1.380m across the service relate to staff (vacancies) and c£285,000 to operational costs. </w:t>
      </w:r>
    </w:p>
    <w:p w14:paraId="5D3FBCD0" w14:textId="77777777" w:rsidR="000F78F1" w:rsidRPr="000F78F1" w:rsidRDefault="000F78F1" w:rsidP="000F78F1">
      <w:pPr>
        <w:spacing w:after="0"/>
        <w:contextualSpacing/>
        <w:rPr>
          <w:rFonts w:eastAsia="Times New Roman" w:cs="Arial"/>
        </w:rPr>
      </w:pPr>
    </w:p>
    <w:p w14:paraId="713B6687" w14:textId="77777777" w:rsidR="000F78F1" w:rsidRPr="000F78F1" w:rsidRDefault="000F78F1" w:rsidP="000F78F1">
      <w:pPr>
        <w:spacing w:after="0"/>
        <w:contextualSpacing/>
        <w:rPr>
          <w:rFonts w:eastAsia="Times New Roman" w:cs="Arial"/>
        </w:rPr>
      </w:pPr>
      <w:r w:rsidRPr="000F78F1">
        <w:rPr>
          <w:rFonts w:eastAsia="Times New Roman" w:cs="Arial"/>
        </w:rPr>
        <w:t xml:space="preserve">The county council will receive additional Supporting Families funding in 2022/23 of c£1.500m which is being used to recruit additional fixed term staff in CFW and in the Inclusion Service. They will provide targeted support and improve the outcomes for children and young people within communities following the pandemic, </w:t>
      </w:r>
      <w:proofErr w:type="gramStart"/>
      <w:r w:rsidRPr="000F78F1">
        <w:rPr>
          <w:rFonts w:eastAsia="Times New Roman" w:cs="Arial"/>
        </w:rPr>
        <w:t>in particular for</w:t>
      </w:r>
      <w:proofErr w:type="gramEnd"/>
      <w:r w:rsidRPr="000F78F1">
        <w:rPr>
          <w:rFonts w:eastAsia="Times New Roman" w:cs="Arial"/>
        </w:rPr>
        <w:t xml:space="preserve"> families experiencing domestic abuse and to meet emotional health/school readiness priorities.  </w:t>
      </w:r>
    </w:p>
    <w:p w14:paraId="0ED949A0" w14:textId="77777777" w:rsidR="000F78F1" w:rsidRPr="000F78F1" w:rsidRDefault="000F78F1" w:rsidP="000F78F1">
      <w:pPr>
        <w:spacing w:after="0"/>
        <w:contextualSpacing/>
        <w:rPr>
          <w:rFonts w:eastAsia="Times New Roman" w:cs="Arial"/>
        </w:rPr>
      </w:pPr>
    </w:p>
    <w:p w14:paraId="40EA26EA" w14:textId="77777777" w:rsidR="000F78F1" w:rsidRPr="000F78F1" w:rsidRDefault="000F78F1" w:rsidP="000F78F1">
      <w:pPr>
        <w:spacing w:after="0"/>
        <w:contextualSpacing/>
        <w:rPr>
          <w:rFonts w:eastAsia="Times New Roman" w:cs="Arial"/>
        </w:rPr>
      </w:pPr>
      <w:r w:rsidRPr="000F78F1">
        <w:rPr>
          <w:rFonts w:eastAsia="Times New Roman" w:cs="Arial"/>
        </w:rPr>
        <w:t xml:space="preserve">The service is working systematically to fill both the current vacancies and the additional fixed term temporary posts.  Vacancies were c16% at the end of 2020/21, c18% at the end of 2021/22 and are c5% at the end of September 2022, with recruitment activity continuing.  The service expects vacancies to reduce over the coming months following the success of recent recruitment activity (subject to the criteria introduced to recruit to vacancies across the county council). </w:t>
      </w:r>
    </w:p>
    <w:p w14:paraId="71E3A3CA" w14:textId="77777777" w:rsidR="000F78F1" w:rsidRPr="000F78F1" w:rsidRDefault="000F78F1" w:rsidP="000F78F1">
      <w:pPr>
        <w:spacing w:after="0"/>
        <w:contextualSpacing/>
        <w:rPr>
          <w:rFonts w:eastAsia="Arial" w:cs="Arial"/>
          <w:highlight w:val="yellow"/>
        </w:rPr>
      </w:pPr>
    </w:p>
    <w:p w14:paraId="450F72D8" w14:textId="77777777" w:rsidR="000F78F1" w:rsidRPr="000F78F1" w:rsidRDefault="000F78F1" w:rsidP="000F78F1">
      <w:pPr>
        <w:spacing w:after="0"/>
        <w:contextualSpacing/>
        <w:rPr>
          <w:rFonts w:cs="Arial"/>
          <w:b/>
        </w:rPr>
      </w:pPr>
      <w:r w:rsidRPr="000F78F1">
        <w:rPr>
          <w:rFonts w:cs="Arial"/>
          <w:b/>
        </w:rPr>
        <w:t>Education Improvement – Forecast overspend £0.867m</w:t>
      </w:r>
    </w:p>
    <w:p w14:paraId="7CB5A90C" w14:textId="77777777" w:rsidR="000F78F1" w:rsidRPr="000F78F1" w:rsidRDefault="000F78F1" w:rsidP="000F78F1">
      <w:pPr>
        <w:spacing w:after="0"/>
        <w:contextualSpacing/>
        <w:rPr>
          <w:rFonts w:cs="Arial"/>
          <w:b/>
          <w:color w:val="FF0000"/>
        </w:rPr>
      </w:pPr>
    </w:p>
    <w:p w14:paraId="602336BB" w14:textId="77777777" w:rsidR="000F78F1" w:rsidRPr="000F78F1" w:rsidRDefault="000F78F1" w:rsidP="000F78F1">
      <w:pPr>
        <w:spacing w:after="0"/>
        <w:contextualSpacing/>
        <w:rPr>
          <w:rFonts w:eastAsia="Times New Roman" w:cs="Arial"/>
          <w:lang w:eastAsia="en-GB"/>
        </w:rPr>
      </w:pPr>
      <w:r w:rsidRPr="000F78F1">
        <w:rPr>
          <w:rFonts w:eastAsia="Times New Roman" w:cs="Arial"/>
          <w:lang w:eastAsia="en-GB"/>
        </w:rPr>
        <w:t xml:space="preserve">Forecast overspends of c£2.140m relate to under recovery of income across the service.  This is due to some schools opting out of the advisory service offer and ongoing pressures on some income generating services including Governor Services and the Professional Development Service, with pressures on school budgets affecting buy-back of services.  </w:t>
      </w:r>
    </w:p>
    <w:p w14:paraId="41F78A10" w14:textId="77777777" w:rsidR="000F78F1" w:rsidRPr="000F78F1" w:rsidRDefault="000F78F1" w:rsidP="000F78F1">
      <w:pPr>
        <w:spacing w:after="0"/>
        <w:contextualSpacing/>
        <w:rPr>
          <w:rFonts w:cs="Arial"/>
          <w:b/>
        </w:rPr>
      </w:pPr>
    </w:p>
    <w:p w14:paraId="50785164" w14:textId="77777777" w:rsidR="000F78F1" w:rsidRPr="000F78F1" w:rsidRDefault="000F78F1" w:rsidP="000F78F1">
      <w:pPr>
        <w:spacing w:after="0"/>
        <w:contextualSpacing/>
        <w:rPr>
          <w:rFonts w:cs="Arial"/>
        </w:rPr>
      </w:pPr>
      <w:r w:rsidRPr="000F78F1">
        <w:rPr>
          <w:rFonts w:cs="Arial"/>
        </w:rPr>
        <w:t xml:space="preserve">The above overspends are partly offset by forecast underspends on staff costs of c£690,000 and on non-staff costs of c£580,000. A review of the service is currently being undertaken </w:t>
      </w:r>
      <w:proofErr w:type="gramStart"/>
      <w:r w:rsidRPr="000F78F1">
        <w:rPr>
          <w:rFonts w:cs="Arial"/>
        </w:rPr>
        <w:t>in light of</w:t>
      </w:r>
      <w:proofErr w:type="gramEnd"/>
      <w:r w:rsidRPr="000F78F1">
        <w:rPr>
          <w:rFonts w:cs="Arial"/>
        </w:rPr>
        <w:t xml:space="preserve"> the reduction of the number of schools currently buying into the service and competition from other organisations.  </w:t>
      </w:r>
    </w:p>
    <w:p w14:paraId="32D75168" w14:textId="77777777" w:rsidR="000F78F1" w:rsidRPr="000F78F1" w:rsidRDefault="000F78F1" w:rsidP="000F78F1">
      <w:pPr>
        <w:spacing w:after="0"/>
        <w:contextualSpacing/>
        <w:rPr>
          <w:rFonts w:cs="Arial"/>
        </w:rPr>
      </w:pPr>
    </w:p>
    <w:p w14:paraId="095AC1BA" w14:textId="77777777" w:rsidR="000F78F1" w:rsidRPr="000F78F1" w:rsidRDefault="000F78F1" w:rsidP="000F78F1">
      <w:pPr>
        <w:tabs>
          <w:tab w:val="left" w:pos="851"/>
          <w:tab w:val="left" w:pos="1418"/>
        </w:tabs>
        <w:spacing w:after="0"/>
        <w:contextualSpacing/>
        <w:rPr>
          <w:rFonts w:cs="Arial"/>
          <w:b/>
        </w:rPr>
      </w:pPr>
      <w:r w:rsidRPr="000F78F1">
        <w:rPr>
          <w:rFonts w:cs="Arial"/>
          <w:b/>
        </w:rPr>
        <w:t>Inclusion – Forecast overspend £0.440m</w:t>
      </w:r>
    </w:p>
    <w:p w14:paraId="79C69FDC" w14:textId="77777777" w:rsidR="000F78F1" w:rsidRPr="000F78F1" w:rsidRDefault="000F78F1" w:rsidP="000F78F1">
      <w:pPr>
        <w:tabs>
          <w:tab w:val="left" w:pos="851"/>
          <w:tab w:val="left" w:pos="1418"/>
        </w:tabs>
        <w:spacing w:after="0"/>
        <w:contextualSpacing/>
        <w:rPr>
          <w:rFonts w:cs="Arial"/>
          <w:b/>
        </w:rPr>
      </w:pPr>
    </w:p>
    <w:p w14:paraId="53EFA9F7" w14:textId="0F7AE07B" w:rsidR="000F78F1" w:rsidRPr="000F78F1" w:rsidRDefault="000F78F1" w:rsidP="000F78F1">
      <w:pPr>
        <w:spacing w:after="0"/>
        <w:contextualSpacing/>
        <w:rPr>
          <w:rFonts w:cs="Arial"/>
        </w:rPr>
      </w:pPr>
      <w:r w:rsidRPr="000F78F1">
        <w:rPr>
          <w:rFonts w:cs="Arial"/>
        </w:rPr>
        <w:t>Forecast overspends of c£1.110m relate to agency residential and fostering placements and family support.</w:t>
      </w:r>
      <w:r w:rsidR="009474A3">
        <w:rPr>
          <w:rFonts w:cs="Arial"/>
        </w:rPr>
        <w:t xml:space="preserve"> </w:t>
      </w:r>
      <w:r w:rsidRPr="000F78F1">
        <w:rPr>
          <w:rFonts w:cs="Arial"/>
        </w:rPr>
        <w:t xml:space="preserve">Spend on agency residential placements has increased in recent years beyond what has been reflected in the budget, with significant increases since March 2021.  The forecast includes estimated health contributions of c£1.200m however of this a c£600,000 relates to 2021/22.  </w:t>
      </w:r>
    </w:p>
    <w:p w14:paraId="2C584A10" w14:textId="77777777" w:rsidR="000F78F1" w:rsidRPr="000F78F1" w:rsidRDefault="000F78F1" w:rsidP="000F78F1">
      <w:pPr>
        <w:spacing w:after="0"/>
        <w:contextualSpacing/>
        <w:rPr>
          <w:rFonts w:cs="Arial"/>
        </w:rPr>
      </w:pPr>
    </w:p>
    <w:p w14:paraId="521E1FC7" w14:textId="77777777" w:rsidR="000F78F1" w:rsidRPr="000F78F1" w:rsidRDefault="000F78F1" w:rsidP="000F78F1">
      <w:pPr>
        <w:spacing w:after="0"/>
        <w:contextualSpacing/>
        <w:rPr>
          <w:rFonts w:cs="Arial"/>
        </w:rPr>
      </w:pPr>
      <w:r w:rsidRPr="000F78F1">
        <w:rPr>
          <w:rFonts w:cs="Arial"/>
        </w:rPr>
        <w:lastRenderedPageBreak/>
        <w:t>Specialist Teachers Service is forecast to underspend on staffing by c£500,000 due to vacancies across the service. This has a direct impact on income, with the forecast including an under recovery of income of c£440,000.</w:t>
      </w:r>
    </w:p>
    <w:p w14:paraId="68B5F892" w14:textId="77777777" w:rsidR="000F78F1" w:rsidRPr="000F78F1" w:rsidRDefault="000F78F1" w:rsidP="000F78F1">
      <w:pPr>
        <w:spacing w:after="0"/>
        <w:contextualSpacing/>
        <w:rPr>
          <w:rFonts w:cs="Arial"/>
        </w:rPr>
      </w:pPr>
    </w:p>
    <w:p w14:paraId="5522F0D0" w14:textId="2967D1FF" w:rsidR="000F78F1" w:rsidRPr="009474A3" w:rsidRDefault="000F78F1" w:rsidP="000F78F1">
      <w:pPr>
        <w:spacing w:after="0"/>
        <w:contextualSpacing/>
        <w:rPr>
          <w:rFonts w:cs="Arial"/>
          <w:b/>
        </w:rPr>
      </w:pPr>
      <w:r w:rsidRPr="000F78F1">
        <w:rPr>
          <w:rFonts w:cs="Arial"/>
        </w:rPr>
        <w:t xml:space="preserve">Further forecast underspends of c£530,000 relate to staffing across the service and c£60,000 to community equipment. </w:t>
      </w:r>
    </w:p>
    <w:p w14:paraId="387D37F3" w14:textId="77777777" w:rsidR="000F78F1" w:rsidRPr="000F78F1" w:rsidRDefault="000F78F1" w:rsidP="000F78F1">
      <w:pPr>
        <w:spacing w:after="0"/>
        <w:contextualSpacing/>
        <w:rPr>
          <w:rFonts w:cs="Arial"/>
        </w:rPr>
      </w:pPr>
    </w:p>
    <w:p w14:paraId="36D83DB2" w14:textId="77777777" w:rsidR="000F78F1" w:rsidRPr="000F78F1" w:rsidRDefault="000F78F1" w:rsidP="000F78F1">
      <w:pPr>
        <w:spacing w:after="0"/>
        <w:contextualSpacing/>
        <w:rPr>
          <w:rFonts w:cs="Arial"/>
          <w:b/>
        </w:rPr>
      </w:pPr>
      <w:r w:rsidRPr="000F78F1">
        <w:rPr>
          <w:rFonts w:cs="Arial"/>
          <w:b/>
        </w:rPr>
        <w:t>Cultural Services</w:t>
      </w:r>
      <w:r w:rsidRPr="000F78F1">
        <w:rPr>
          <w:rFonts w:eastAsia="Times New Roman" w:cs="Arial"/>
          <w:b/>
          <w:bCs/>
          <w:lang w:eastAsia="en-GB"/>
        </w:rPr>
        <w:t xml:space="preserve"> </w:t>
      </w:r>
      <w:r w:rsidRPr="000F78F1">
        <w:rPr>
          <w:rFonts w:cs="Arial"/>
          <w:b/>
        </w:rPr>
        <w:t>– Forecast overspend £0.412m</w:t>
      </w:r>
    </w:p>
    <w:p w14:paraId="20C39608" w14:textId="77777777" w:rsidR="000F78F1" w:rsidRPr="000F78F1" w:rsidRDefault="000F78F1" w:rsidP="000F78F1">
      <w:pPr>
        <w:spacing w:after="0"/>
        <w:contextualSpacing/>
        <w:rPr>
          <w:rFonts w:eastAsia="Times New Roman" w:cs="Arial"/>
          <w:bCs/>
          <w:color w:val="FF0000"/>
          <w:lang w:eastAsia="en-GB"/>
        </w:rPr>
      </w:pPr>
    </w:p>
    <w:p w14:paraId="0A5F6582" w14:textId="77777777" w:rsidR="000F78F1" w:rsidRPr="000F78F1" w:rsidRDefault="000F78F1" w:rsidP="000F78F1">
      <w:pPr>
        <w:spacing w:after="0"/>
        <w:contextualSpacing/>
        <w:rPr>
          <w:rFonts w:cs="Arial"/>
        </w:rPr>
      </w:pPr>
      <w:r w:rsidRPr="000F78F1">
        <w:rPr>
          <w:rFonts w:cs="Arial"/>
        </w:rPr>
        <w:t>Forecast overspends of c£70,000 relate to staffing and are mainly due to the recent pay award offer, c£30,000 to non-staff costs and c£340,000 to under recovery of income across the service.</w:t>
      </w:r>
    </w:p>
    <w:p w14:paraId="16B5748F" w14:textId="77777777" w:rsidR="000F78F1" w:rsidRPr="000F78F1" w:rsidRDefault="000F78F1" w:rsidP="000F78F1">
      <w:pPr>
        <w:spacing w:after="0"/>
        <w:contextualSpacing/>
        <w:rPr>
          <w:rFonts w:cs="Arial"/>
        </w:rPr>
      </w:pPr>
    </w:p>
    <w:p w14:paraId="4A454F3E" w14:textId="77777777" w:rsidR="000F78F1" w:rsidRPr="000F78F1" w:rsidRDefault="000F78F1" w:rsidP="000F78F1">
      <w:pPr>
        <w:spacing w:after="0"/>
        <w:contextualSpacing/>
        <w:rPr>
          <w:rFonts w:cs="Arial"/>
          <w:b/>
        </w:rPr>
      </w:pPr>
      <w:r w:rsidRPr="000F78F1">
        <w:rPr>
          <w:rFonts w:cs="Arial"/>
          <w:b/>
        </w:rPr>
        <w:t>Education and Children's Services – Forecast overspend £0.492m</w:t>
      </w:r>
    </w:p>
    <w:p w14:paraId="5FFDC754" w14:textId="77777777" w:rsidR="000F78F1" w:rsidRPr="000F78F1" w:rsidRDefault="000F78F1" w:rsidP="000F78F1">
      <w:pPr>
        <w:spacing w:after="0"/>
        <w:contextualSpacing/>
        <w:rPr>
          <w:rFonts w:cs="Arial"/>
          <w:color w:val="FF0000"/>
        </w:rPr>
      </w:pPr>
    </w:p>
    <w:p w14:paraId="25D4B822" w14:textId="77777777" w:rsidR="000F78F1" w:rsidRPr="000F78F1" w:rsidRDefault="000F78F1" w:rsidP="000F78F1">
      <w:pPr>
        <w:spacing w:after="0"/>
        <w:contextualSpacing/>
        <w:rPr>
          <w:rFonts w:cs="Arial"/>
          <w:b/>
        </w:rPr>
      </w:pPr>
      <w:r w:rsidRPr="000F78F1">
        <w:rPr>
          <w:rFonts w:cs="Arial"/>
          <w:b/>
        </w:rPr>
        <w:t>Education and Children's Services Central Costs – Overspend £0.422m</w:t>
      </w:r>
    </w:p>
    <w:p w14:paraId="6CA8C94A" w14:textId="77777777" w:rsidR="000F78F1" w:rsidRPr="000F78F1" w:rsidRDefault="000F78F1" w:rsidP="000F78F1">
      <w:pPr>
        <w:spacing w:after="0"/>
        <w:contextualSpacing/>
        <w:rPr>
          <w:rFonts w:cs="Arial"/>
          <w:color w:val="FF0000"/>
        </w:rPr>
      </w:pPr>
    </w:p>
    <w:p w14:paraId="223F0D07" w14:textId="77777777" w:rsidR="000F78F1" w:rsidRPr="000F78F1" w:rsidRDefault="000F78F1" w:rsidP="000F78F1">
      <w:pPr>
        <w:spacing w:after="0"/>
        <w:contextualSpacing/>
        <w:rPr>
          <w:rFonts w:cs="Arial"/>
        </w:rPr>
      </w:pPr>
      <w:r w:rsidRPr="000F78F1">
        <w:rPr>
          <w:rFonts w:cs="Arial"/>
        </w:rPr>
        <w:t xml:space="preserve">Forecast overspends relate to a loss of c£920,000 (c50%) of the School Monitoring &amp; Brokering grant received from the Department for Education (DfE) offset by forecast underspends on Premature Retirement Costs (PRC) of c£500,000 which assumes a similar level of spend to that in 2021/22.  </w:t>
      </w:r>
    </w:p>
    <w:bookmarkEnd w:id="11"/>
    <w:p w14:paraId="67E383CE" w14:textId="77777777" w:rsidR="000F78F1" w:rsidRPr="000F78F1" w:rsidRDefault="000F78F1" w:rsidP="000F78F1">
      <w:pPr>
        <w:spacing w:after="0"/>
        <w:contextualSpacing/>
        <w:rPr>
          <w:rFonts w:eastAsia="Arial" w:cs="Arial"/>
          <w:b/>
          <w:bCs/>
        </w:rPr>
      </w:pPr>
    </w:p>
    <w:p w14:paraId="1E4473DE" w14:textId="77777777" w:rsidR="000F78F1" w:rsidRPr="000F78F1" w:rsidRDefault="000F78F1" w:rsidP="000F78F1">
      <w:pPr>
        <w:spacing w:after="0"/>
        <w:contextualSpacing/>
        <w:rPr>
          <w:rFonts w:cs="Arial"/>
          <w:color w:val="FF0000"/>
        </w:rPr>
      </w:pPr>
    </w:p>
    <w:p w14:paraId="431DD30E" w14:textId="77777777" w:rsidR="000F78F1" w:rsidRPr="000F78F1" w:rsidRDefault="000F78F1" w:rsidP="000F78F1">
      <w:pPr>
        <w:spacing w:after="0"/>
        <w:contextualSpacing/>
        <w:rPr>
          <w:rFonts w:eastAsia="Arial" w:cs="Arial"/>
          <w:b/>
          <w:bCs/>
        </w:rPr>
      </w:pPr>
    </w:p>
    <w:p w14:paraId="6A369DE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4C5443EA"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57BE4D29"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AA2FFFA"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A42EABF"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4345B76"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7A56894"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5FA9BDC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0DE21DC3"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69C8A99"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E7DD15F"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BD5EF6C"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494EC7C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6E52999E"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71DC466B"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A86792C"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F044E58" w14:textId="72244B2E" w:rsidR="000F78F1" w:rsidRDefault="000F78F1" w:rsidP="000F78F1">
      <w:pPr>
        <w:autoSpaceDE/>
        <w:autoSpaceDN/>
        <w:adjustRightInd/>
        <w:spacing w:after="0"/>
        <w:textAlignment w:val="baseline"/>
        <w:rPr>
          <w:rFonts w:eastAsia="Times New Roman" w:cs="Arial"/>
          <w:color w:val="auto"/>
          <w:highlight w:val="yellow"/>
          <w:lang w:eastAsia="en-GB"/>
        </w:rPr>
      </w:pPr>
    </w:p>
    <w:p w14:paraId="75651A2B" w14:textId="534CEA60" w:rsidR="000F78F1" w:rsidRDefault="000F78F1" w:rsidP="000F78F1">
      <w:pPr>
        <w:autoSpaceDE/>
        <w:autoSpaceDN/>
        <w:adjustRightInd/>
        <w:spacing w:after="0"/>
        <w:textAlignment w:val="baseline"/>
        <w:rPr>
          <w:rFonts w:eastAsia="Times New Roman" w:cs="Arial"/>
          <w:color w:val="auto"/>
          <w:highlight w:val="yellow"/>
          <w:lang w:eastAsia="en-GB"/>
        </w:rPr>
      </w:pPr>
    </w:p>
    <w:p w14:paraId="48C8465B" w14:textId="463FF6F6" w:rsidR="009474A3" w:rsidRDefault="009474A3" w:rsidP="000F78F1">
      <w:pPr>
        <w:autoSpaceDE/>
        <w:autoSpaceDN/>
        <w:adjustRightInd/>
        <w:spacing w:after="0"/>
        <w:textAlignment w:val="baseline"/>
        <w:rPr>
          <w:rFonts w:eastAsia="Times New Roman" w:cs="Arial"/>
          <w:color w:val="auto"/>
          <w:highlight w:val="yellow"/>
          <w:lang w:eastAsia="en-GB"/>
        </w:rPr>
      </w:pPr>
    </w:p>
    <w:p w14:paraId="1EF21668" w14:textId="485261DB" w:rsidR="009474A3" w:rsidRDefault="009474A3" w:rsidP="000F78F1">
      <w:pPr>
        <w:autoSpaceDE/>
        <w:autoSpaceDN/>
        <w:adjustRightInd/>
        <w:spacing w:after="0"/>
        <w:textAlignment w:val="baseline"/>
        <w:rPr>
          <w:rFonts w:eastAsia="Times New Roman" w:cs="Arial"/>
          <w:color w:val="auto"/>
          <w:highlight w:val="yellow"/>
          <w:lang w:eastAsia="en-GB"/>
        </w:rPr>
      </w:pPr>
    </w:p>
    <w:p w14:paraId="1B80F2BE" w14:textId="3CED10E1" w:rsidR="009474A3" w:rsidRDefault="009474A3" w:rsidP="000F78F1">
      <w:pPr>
        <w:autoSpaceDE/>
        <w:autoSpaceDN/>
        <w:adjustRightInd/>
        <w:spacing w:after="0"/>
        <w:textAlignment w:val="baseline"/>
        <w:rPr>
          <w:rFonts w:eastAsia="Times New Roman" w:cs="Arial"/>
          <w:color w:val="auto"/>
          <w:highlight w:val="yellow"/>
          <w:lang w:eastAsia="en-GB"/>
        </w:rPr>
      </w:pPr>
    </w:p>
    <w:p w14:paraId="6DAD67DE" w14:textId="3076B193" w:rsidR="009474A3" w:rsidRDefault="009474A3" w:rsidP="000F78F1">
      <w:pPr>
        <w:autoSpaceDE/>
        <w:autoSpaceDN/>
        <w:adjustRightInd/>
        <w:spacing w:after="0"/>
        <w:textAlignment w:val="baseline"/>
        <w:rPr>
          <w:rFonts w:eastAsia="Times New Roman" w:cs="Arial"/>
          <w:color w:val="auto"/>
          <w:highlight w:val="yellow"/>
          <w:lang w:eastAsia="en-GB"/>
        </w:rPr>
      </w:pPr>
    </w:p>
    <w:p w14:paraId="54872D0B" w14:textId="60D7D443" w:rsidR="009474A3" w:rsidRDefault="009474A3" w:rsidP="000F78F1">
      <w:pPr>
        <w:autoSpaceDE/>
        <w:autoSpaceDN/>
        <w:adjustRightInd/>
        <w:spacing w:after="0"/>
        <w:textAlignment w:val="baseline"/>
        <w:rPr>
          <w:rFonts w:eastAsia="Times New Roman" w:cs="Arial"/>
          <w:color w:val="auto"/>
          <w:highlight w:val="yellow"/>
          <w:lang w:eastAsia="en-GB"/>
        </w:rPr>
      </w:pPr>
    </w:p>
    <w:p w14:paraId="52F7034D" w14:textId="77777777" w:rsidR="009474A3" w:rsidRPr="000F78F1" w:rsidRDefault="009474A3" w:rsidP="000F78F1">
      <w:pPr>
        <w:autoSpaceDE/>
        <w:autoSpaceDN/>
        <w:adjustRightInd/>
        <w:spacing w:after="0"/>
        <w:textAlignment w:val="baseline"/>
        <w:rPr>
          <w:rFonts w:eastAsia="Times New Roman" w:cs="Arial"/>
          <w:color w:val="auto"/>
          <w:highlight w:val="yellow"/>
          <w:lang w:eastAsia="en-GB"/>
        </w:rPr>
      </w:pPr>
    </w:p>
    <w:p w14:paraId="533E605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B0278F8"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48E77EA3" w14:textId="77777777" w:rsidR="000F78F1" w:rsidRPr="000F78F1" w:rsidRDefault="000F78F1" w:rsidP="000F78F1">
      <w:pPr>
        <w:numPr>
          <w:ilvl w:val="0"/>
          <w:numId w:val="5"/>
        </w:numPr>
        <w:autoSpaceDE/>
        <w:autoSpaceDN/>
        <w:adjustRightInd/>
        <w:spacing w:after="0"/>
        <w:textAlignment w:val="baseline"/>
        <w:rPr>
          <w:rFonts w:eastAsia="Times New Roman" w:cs="Arial"/>
          <w:b/>
          <w:bCs/>
          <w:color w:val="auto"/>
          <w:u w:val="single"/>
          <w:lang w:eastAsia="en-GB"/>
        </w:rPr>
      </w:pPr>
      <w:r w:rsidRPr="000F78F1">
        <w:rPr>
          <w:rFonts w:eastAsia="Times New Roman" w:cs="Arial"/>
          <w:b/>
          <w:bCs/>
          <w:color w:val="auto"/>
          <w:u w:val="single"/>
          <w:lang w:eastAsia="en-GB"/>
        </w:rPr>
        <w:lastRenderedPageBreak/>
        <w:t xml:space="preserve">Growth, Environment and Transport Directorate </w:t>
      </w:r>
    </w:p>
    <w:p w14:paraId="73F2040F" w14:textId="77777777" w:rsidR="000F78F1" w:rsidRPr="000F78F1" w:rsidRDefault="000F78F1" w:rsidP="000F78F1">
      <w:pPr>
        <w:autoSpaceDE/>
        <w:autoSpaceDN/>
        <w:adjustRightInd/>
        <w:spacing w:after="0"/>
        <w:textAlignment w:val="baseline"/>
        <w:rPr>
          <w:rFonts w:eastAsia="Times New Roman" w:cs="Arial"/>
          <w:b/>
          <w:bCs/>
          <w:color w:val="auto"/>
          <w:highlight w:val="yellow"/>
          <w:u w:val="single"/>
          <w:lang w:eastAsia="en-GB"/>
        </w:rPr>
      </w:pPr>
    </w:p>
    <w:tbl>
      <w:tblPr>
        <w:tblW w:w="9021" w:type="dxa"/>
        <w:tblInd w:w="113" w:type="dxa"/>
        <w:tblLook w:val="04A0" w:firstRow="1" w:lastRow="0" w:firstColumn="1" w:lastColumn="0" w:noHBand="0" w:noVBand="1"/>
      </w:tblPr>
      <w:tblGrid>
        <w:gridCol w:w="3559"/>
        <w:gridCol w:w="1084"/>
        <w:gridCol w:w="1084"/>
        <w:gridCol w:w="1050"/>
        <w:gridCol w:w="1050"/>
        <w:gridCol w:w="1194"/>
      </w:tblGrid>
      <w:tr w:rsidR="000F78F1" w:rsidRPr="000F78F1" w14:paraId="354608AC" w14:textId="77777777" w:rsidTr="00C11DAC">
        <w:trPr>
          <w:trHeight w:val="768"/>
        </w:trPr>
        <w:tc>
          <w:tcPr>
            <w:tcW w:w="37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92B347"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64F48022"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2E49449"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61978A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A35969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74DF4AD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27D99BDF"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5AC772BE"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939" w:type="dxa"/>
            <w:tcBorders>
              <w:top w:val="nil"/>
              <w:left w:val="nil"/>
              <w:bottom w:val="single" w:sz="4" w:space="0" w:color="auto"/>
              <w:right w:val="single" w:sz="4" w:space="0" w:color="auto"/>
            </w:tcBorders>
            <w:shd w:val="clear" w:color="000000" w:fill="D9D9D9"/>
            <w:vAlign w:val="center"/>
            <w:hideMark/>
          </w:tcPr>
          <w:p w14:paraId="3089CF12"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31D9BC8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092282D4"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0C01B53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207" w:type="dxa"/>
            <w:tcBorders>
              <w:top w:val="nil"/>
              <w:left w:val="nil"/>
              <w:bottom w:val="single" w:sz="4" w:space="0" w:color="auto"/>
              <w:right w:val="single" w:sz="4" w:space="0" w:color="auto"/>
            </w:tcBorders>
            <w:shd w:val="clear" w:color="000000" w:fill="D9D9D9"/>
            <w:vAlign w:val="center"/>
            <w:hideMark/>
          </w:tcPr>
          <w:p w14:paraId="3890D8CA"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2FC00D51"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623D6F5C"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Waste Management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9E602D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71.720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808244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71.241</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B64DC1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-0.479</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75D04F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-0.67%</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2694A66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-0.546</w:t>
            </w:r>
          </w:p>
        </w:tc>
      </w:tr>
      <w:tr w:rsidR="000F78F1" w:rsidRPr="000F78F1" w14:paraId="1AAF6464"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75CB9EBC"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Highways</w:t>
            </w:r>
          </w:p>
        </w:tc>
        <w:tc>
          <w:tcPr>
            <w:tcW w:w="939" w:type="dxa"/>
            <w:tcBorders>
              <w:top w:val="nil"/>
              <w:left w:val="nil"/>
              <w:bottom w:val="single" w:sz="4" w:space="0" w:color="auto"/>
              <w:right w:val="single" w:sz="4" w:space="0" w:color="auto"/>
            </w:tcBorders>
            <w:shd w:val="clear" w:color="auto" w:fill="auto"/>
            <w:vAlign w:val="center"/>
            <w:hideMark/>
          </w:tcPr>
          <w:p w14:paraId="1F9588F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16.476</w:t>
            </w:r>
          </w:p>
        </w:tc>
        <w:tc>
          <w:tcPr>
            <w:tcW w:w="1050" w:type="dxa"/>
            <w:tcBorders>
              <w:top w:val="nil"/>
              <w:left w:val="nil"/>
              <w:bottom w:val="single" w:sz="4" w:space="0" w:color="auto"/>
              <w:right w:val="single" w:sz="4" w:space="0" w:color="auto"/>
            </w:tcBorders>
            <w:shd w:val="clear" w:color="auto" w:fill="auto"/>
            <w:vAlign w:val="center"/>
            <w:hideMark/>
          </w:tcPr>
          <w:p w14:paraId="46B4FA9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15.298</w:t>
            </w:r>
          </w:p>
        </w:tc>
        <w:tc>
          <w:tcPr>
            <w:tcW w:w="1050" w:type="dxa"/>
            <w:tcBorders>
              <w:top w:val="nil"/>
              <w:left w:val="nil"/>
              <w:bottom w:val="single" w:sz="4" w:space="0" w:color="auto"/>
              <w:right w:val="single" w:sz="4" w:space="0" w:color="auto"/>
            </w:tcBorders>
            <w:shd w:val="clear" w:color="000000" w:fill="D9D9D9"/>
            <w:vAlign w:val="center"/>
            <w:hideMark/>
          </w:tcPr>
          <w:p w14:paraId="27FE8B4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-1.178</w:t>
            </w:r>
          </w:p>
        </w:tc>
        <w:tc>
          <w:tcPr>
            <w:tcW w:w="1050" w:type="dxa"/>
            <w:tcBorders>
              <w:top w:val="nil"/>
              <w:left w:val="nil"/>
              <w:bottom w:val="single" w:sz="4" w:space="0" w:color="auto"/>
              <w:right w:val="single" w:sz="4" w:space="0" w:color="auto"/>
            </w:tcBorders>
            <w:shd w:val="clear" w:color="auto" w:fill="auto"/>
            <w:vAlign w:val="center"/>
            <w:hideMark/>
          </w:tcPr>
          <w:p w14:paraId="6B314E5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-7.15%</w:t>
            </w:r>
          </w:p>
        </w:tc>
        <w:tc>
          <w:tcPr>
            <w:tcW w:w="1207" w:type="dxa"/>
            <w:tcBorders>
              <w:top w:val="nil"/>
              <w:left w:val="nil"/>
              <w:bottom w:val="single" w:sz="4" w:space="0" w:color="auto"/>
              <w:right w:val="single" w:sz="4" w:space="0" w:color="auto"/>
            </w:tcBorders>
            <w:shd w:val="clear" w:color="000000" w:fill="D9D9D9"/>
            <w:vAlign w:val="center"/>
            <w:hideMark/>
          </w:tcPr>
          <w:p w14:paraId="5D979155"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-0.072</w:t>
            </w:r>
          </w:p>
        </w:tc>
      </w:tr>
      <w:tr w:rsidR="000F78F1" w:rsidRPr="000F78F1" w14:paraId="4AE905F9"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55AB0321"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Public and Integrated Transport</w:t>
            </w:r>
          </w:p>
        </w:tc>
        <w:tc>
          <w:tcPr>
            <w:tcW w:w="939" w:type="dxa"/>
            <w:tcBorders>
              <w:top w:val="nil"/>
              <w:left w:val="nil"/>
              <w:bottom w:val="single" w:sz="4" w:space="0" w:color="auto"/>
              <w:right w:val="single" w:sz="4" w:space="0" w:color="auto"/>
            </w:tcBorders>
            <w:shd w:val="clear" w:color="auto" w:fill="auto"/>
            <w:vAlign w:val="center"/>
            <w:hideMark/>
          </w:tcPr>
          <w:p w14:paraId="1CA3E8A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57.944</w:t>
            </w:r>
          </w:p>
        </w:tc>
        <w:tc>
          <w:tcPr>
            <w:tcW w:w="1050" w:type="dxa"/>
            <w:tcBorders>
              <w:top w:val="nil"/>
              <w:left w:val="nil"/>
              <w:bottom w:val="single" w:sz="4" w:space="0" w:color="auto"/>
              <w:right w:val="single" w:sz="4" w:space="0" w:color="auto"/>
            </w:tcBorders>
            <w:shd w:val="clear" w:color="auto" w:fill="auto"/>
            <w:vAlign w:val="center"/>
            <w:hideMark/>
          </w:tcPr>
          <w:p w14:paraId="5721E69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57.367</w:t>
            </w:r>
          </w:p>
        </w:tc>
        <w:tc>
          <w:tcPr>
            <w:tcW w:w="1050" w:type="dxa"/>
            <w:tcBorders>
              <w:top w:val="nil"/>
              <w:left w:val="nil"/>
              <w:bottom w:val="single" w:sz="4" w:space="0" w:color="auto"/>
              <w:right w:val="single" w:sz="4" w:space="0" w:color="auto"/>
            </w:tcBorders>
            <w:shd w:val="clear" w:color="000000" w:fill="D9D9D9"/>
            <w:vAlign w:val="center"/>
            <w:hideMark/>
          </w:tcPr>
          <w:p w14:paraId="4A986CC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-0.577</w:t>
            </w:r>
          </w:p>
        </w:tc>
        <w:tc>
          <w:tcPr>
            <w:tcW w:w="1050" w:type="dxa"/>
            <w:tcBorders>
              <w:top w:val="nil"/>
              <w:left w:val="nil"/>
              <w:bottom w:val="single" w:sz="4" w:space="0" w:color="auto"/>
              <w:right w:val="single" w:sz="4" w:space="0" w:color="auto"/>
            </w:tcBorders>
            <w:shd w:val="clear" w:color="auto" w:fill="auto"/>
            <w:vAlign w:val="center"/>
            <w:hideMark/>
          </w:tcPr>
          <w:p w14:paraId="5492B98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-1.00%</w:t>
            </w:r>
          </w:p>
        </w:tc>
        <w:tc>
          <w:tcPr>
            <w:tcW w:w="1207" w:type="dxa"/>
            <w:tcBorders>
              <w:top w:val="nil"/>
              <w:left w:val="nil"/>
              <w:bottom w:val="single" w:sz="4" w:space="0" w:color="auto"/>
              <w:right w:val="single" w:sz="4" w:space="0" w:color="auto"/>
            </w:tcBorders>
            <w:shd w:val="clear" w:color="000000" w:fill="D9D9D9"/>
            <w:vAlign w:val="center"/>
            <w:hideMark/>
          </w:tcPr>
          <w:p w14:paraId="1BE5688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-1.608</w:t>
            </w:r>
          </w:p>
        </w:tc>
      </w:tr>
      <w:tr w:rsidR="000F78F1" w:rsidRPr="000F78F1" w14:paraId="7F5F0E39"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6896FAF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Design And Construction</w:t>
            </w:r>
          </w:p>
        </w:tc>
        <w:tc>
          <w:tcPr>
            <w:tcW w:w="939" w:type="dxa"/>
            <w:tcBorders>
              <w:top w:val="nil"/>
              <w:left w:val="nil"/>
              <w:bottom w:val="single" w:sz="4" w:space="0" w:color="auto"/>
              <w:right w:val="single" w:sz="4" w:space="0" w:color="auto"/>
            </w:tcBorders>
            <w:shd w:val="clear" w:color="auto" w:fill="auto"/>
            <w:vAlign w:val="center"/>
            <w:hideMark/>
          </w:tcPr>
          <w:p w14:paraId="0327E4C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-2.419</w:t>
            </w:r>
          </w:p>
        </w:tc>
        <w:tc>
          <w:tcPr>
            <w:tcW w:w="1050" w:type="dxa"/>
            <w:tcBorders>
              <w:top w:val="nil"/>
              <w:left w:val="nil"/>
              <w:bottom w:val="single" w:sz="4" w:space="0" w:color="auto"/>
              <w:right w:val="single" w:sz="4" w:space="0" w:color="auto"/>
            </w:tcBorders>
            <w:shd w:val="clear" w:color="auto" w:fill="auto"/>
            <w:vAlign w:val="center"/>
            <w:hideMark/>
          </w:tcPr>
          <w:p w14:paraId="2C814FF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0.603</w:t>
            </w:r>
          </w:p>
        </w:tc>
        <w:tc>
          <w:tcPr>
            <w:tcW w:w="1050" w:type="dxa"/>
            <w:tcBorders>
              <w:top w:val="nil"/>
              <w:left w:val="nil"/>
              <w:bottom w:val="single" w:sz="4" w:space="0" w:color="auto"/>
              <w:right w:val="single" w:sz="4" w:space="0" w:color="auto"/>
            </w:tcBorders>
            <w:shd w:val="clear" w:color="000000" w:fill="D9D9D9"/>
            <w:vAlign w:val="center"/>
            <w:hideMark/>
          </w:tcPr>
          <w:p w14:paraId="77E6434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3.022</w:t>
            </w:r>
          </w:p>
        </w:tc>
        <w:tc>
          <w:tcPr>
            <w:tcW w:w="1050" w:type="dxa"/>
            <w:tcBorders>
              <w:top w:val="nil"/>
              <w:left w:val="nil"/>
              <w:bottom w:val="single" w:sz="4" w:space="0" w:color="auto"/>
              <w:right w:val="single" w:sz="4" w:space="0" w:color="auto"/>
            </w:tcBorders>
            <w:shd w:val="clear" w:color="auto" w:fill="auto"/>
            <w:vAlign w:val="center"/>
            <w:hideMark/>
          </w:tcPr>
          <w:p w14:paraId="57AFC54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-124.93%</w:t>
            </w:r>
          </w:p>
        </w:tc>
        <w:tc>
          <w:tcPr>
            <w:tcW w:w="1207" w:type="dxa"/>
            <w:tcBorders>
              <w:top w:val="nil"/>
              <w:left w:val="nil"/>
              <w:bottom w:val="single" w:sz="4" w:space="0" w:color="auto"/>
              <w:right w:val="single" w:sz="4" w:space="0" w:color="auto"/>
            </w:tcBorders>
            <w:shd w:val="clear" w:color="000000" w:fill="D9D9D9"/>
            <w:vAlign w:val="center"/>
            <w:hideMark/>
          </w:tcPr>
          <w:p w14:paraId="0D2FD730"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3.282</w:t>
            </w:r>
          </w:p>
        </w:tc>
      </w:tr>
      <w:tr w:rsidR="000F78F1" w:rsidRPr="000F78F1" w14:paraId="5C6D8030"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7CB18CFA"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Customer Access</w:t>
            </w:r>
          </w:p>
        </w:tc>
        <w:tc>
          <w:tcPr>
            <w:tcW w:w="939" w:type="dxa"/>
            <w:tcBorders>
              <w:top w:val="nil"/>
              <w:left w:val="nil"/>
              <w:bottom w:val="single" w:sz="4" w:space="0" w:color="auto"/>
              <w:right w:val="single" w:sz="4" w:space="0" w:color="auto"/>
            </w:tcBorders>
            <w:shd w:val="clear" w:color="auto" w:fill="auto"/>
            <w:vAlign w:val="center"/>
            <w:hideMark/>
          </w:tcPr>
          <w:p w14:paraId="427A3EC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3.085</w:t>
            </w:r>
          </w:p>
        </w:tc>
        <w:tc>
          <w:tcPr>
            <w:tcW w:w="1050" w:type="dxa"/>
            <w:tcBorders>
              <w:top w:val="nil"/>
              <w:left w:val="nil"/>
              <w:bottom w:val="single" w:sz="4" w:space="0" w:color="auto"/>
              <w:right w:val="single" w:sz="4" w:space="0" w:color="auto"/>
            </w:tcBorders>
            <w:shd w:val="clear" w:color="auto" w:fill="auto"/>
            <w:vAlign w:val="center"/>
            <w:hideMark/>
          </w:tcPr>
          <w:p w14:paraId="66C7C1D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3.506</w:t>
            </w:r>
          </w:p>
        </w:tc>
        <w:tc>
          <w:tcPr>
            <w:tcW w:w="1050" w:type="dxa"/>
            <w:tcBorders>
              <w:top w:val="nil"/>
              <w:left w:val="nil"/>
              <w:bottom w:val="single" w:sz="4" w:space="0" w:color="auto"/>
              <w:right w:val="single" w:sz="4" w:space="0" w:color="auto"/>
            </w:tcBorders>
            <w:shd w:val="clear" w:color="000000" w:fill="D9D9D9"/>
            <w:vAlign w:val="center"/>
            <w:hideMark/>
          </w:tcPr>
          <w:p w14:paraId="18645BF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0.421</w:t>
            </w:r>
          </w:p>
        </w:tc>
        <w:tc>
          <w:tcPr>
            <w:tcW w:w="1050" w:type="dxa"/>
            <w:tcBorders>
              <w:top w:val="nil"/>
              <w:left w:val="nil"/>
              <w:bottom w:val="single" w:sz="4" w:space="0" w:color="auto"/>
              <w:right w:val="single" w:sz="4" w:space="0" w:color="auto"/>
            </w:tcBorders>
            <w:shd w:val="clear" w:color="auto" w:fill="auto"/>
            <w:vAlign w:val="center"/>
            <w:hideMark/>
          </w:tcPr>
          <w:p w14:paraId="5D295DD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13.65%</w:t>
            </w:r>
          </w:p>
        </w:tc>
        <w:tc>
          <w:tcPr>
            <w:tcW w:w="1207" w:type="dxa"/>
            <w:tcBorders>
              <w:top w:val="nil"/>
              <w:left w:val="nil"/>
              <w:bottom w:val="single" w:sz="4" w:space="0" w:color="auto"/>
              <w:right w:val="single" w:sz="4" w:space="0" w:color="auto"/>
            </w:tcBorders>
            <w:shd w:val="clear" w:color="000000" w:fill="D9D9D9"/>
            <w:vAlign w:val="center"/>
            <w:hideMark/>
          </w:tcPr>
          <w:p w14:paraId="1702AB2C"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0.557</w:t>
            </w:r>
          </w:p>
        </w:tc>
      </w:tr>
      <w:tr w:rsidR="000F78F1" w:rsidRPr="000F78F1" w14:paraId="62270E27" w14:textId="77777777" w:rsidTr="00C11DAC">
        <w:trPr>
          <w:trHeight w:val="316"/>
        </w:trPr>
        <w:tc>
          <w:tcPr>
            <w:tcW w:w="3725" w:type="dxa"/>
            <w:tcBorders>
              <w:top w:val="nil"/>
              <w:left w:val="single" w:sz="8" w:space="0" w:color="auto"/>
              <w:bottom w:val="single" w:sz="8" w:space="0" w:color="auto"/>
              <w:right w:val="single" w:sz="4" w:space="0" w:color="auto"/>
            </w:tcBorders>
            <w:shd w:val="clear" w:color="000000" w:fill="D9D9D9"/>
            <w:vAlign w:val="center"/>
            <w:hideMark/>
          </w:tcPr>
          <w:p w14:paraId="6FDB9D08"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Highways and Transport</w:t>
            </w:r>
          </w:p>
        </w:tc>
        <w:tc>
          <w:tcPr>
            <w:tcW w:w="939" w:type="dxa"/>
            <w:tcBorders>
              <w:top w:val="nil"/>
              <w:left w:val="nil"/>
              <w:bottom w:val="single" w:sz="8" w:space="0" w:color="auto"/>
              <w:right w:val="single" w:sz="4" w:space="0" w:color="auto"/>
            </w:tcBorders>
            <w:shd w:val="clear" w:color="000000" w:fill="D9D9D9"/>
            <w:vAlign w:val="center"/>
            <w:hideMark/>
          </w:tcPr>
          <w:p w14:paraId="572435D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146.806</w:t>
            </w:r>
          </w:p>
        </w:tc>
        <w:tc>
          <w:tcPr>
            <w:tcW w:w="1050" w:type="dxa"/>
            <w:tcBorders>
              <w:top w:val="nil"/>
              <w:left w:val="nil"/>
              <w:bottom w:val="single" w:sz="8" w:space="0" w:color="auto"/>
              <w:right w:val="single" w:sz="4" w:space="0" w:color="auto"/>
            </w:tcBorders>
            <w:shd w:val="clear" w:color="000000" w:fill="D9D9D9"/>
            <w:vAlign w:val="center"/>
            <w:hideMark/>
          </w:tcPr>
          <w:p w14:paraId="23315AC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148.015</w:t>
            </w:r>
          </w:p>
        </w:tc>
        <w:tc>
          <w:tcPr>
            <w:tcW w:w="1050" w:type="dxa"/>
            <w:tcBorders>
              <w:top w:val="nil"/>
              <w:left w:val="nil"/>
              <w:bottom w:val="single" w:sz="8" w:space="0" w:color="auto"/>
              <w:right w:val="single" w:sz="4" w:space="0" w:color="auto"/>
            </w:tcBorders>
            <w:shd w:val="clear" w:color="000000" w:fill="D9D9D9"/>
            <w:vAlign w:val="center"/>
            <w:hideMark/>
          </w:tcPr>
          <w:p w14:paraId="37748BEA"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1.209</w:t>
            </w:r>
          </w:p>
        </w:tc>
        <w:tc>
          <w:tcPr>
            <w:tcW w:w="1050" w:type="dxa"/>
            <w:tcBorders>
              <w:top w:val="nil"/>
              <w:left w:val="nil"/>
              <w:bottom w:val="single" w:sz="8" w:space="0" w:color="auto"/>
              <w:right w:val="single" w:sz="4" w:space="0" w:color="auto"/>
            </w:tcBorders>
            <w:shd w:val="clear" w:color="000000" w:fill="D9D9D9"/>
            <w:vAlign w:val="center"/>
            <w:hideMark/>
          </w:tcPr>
          <w:p w14:paraId="0D28610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0.82%</w:t>
            </w:r>
          </w:p>
        </w:tc>
        <w:tc>
          <w:tcPr>
            <w:tcW w:w="1207" w:type="dxa"/>
            <w:tcBorders>
              <w:top w:val="nil"/>
              <w:left w:val="nil"/>
              <w:bottom w:val="single" w:sz="8" w:space="0" w:color="auto"/>
              <w:right w:val="single" w:sz="4" w:space="0" w:color="auto"/>
            </w:tcBorders>
            <w:shd w:val="clear" w:color="000000" w:fill="D9D9D9"/>
            <w:vAlign w:val="center"/>
            <w:hideMark/>
          </w:tcPr>
          <w:p w14:paraId="611E4AC3"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1.613</w:t>
            </w:r>
          </w:p>
        </w:tc>
      </w:tr>
      <w:tr w:rsidR="000F78F1" w:rsidRPr="000F78F1" w14:paraId="527B5B5A" w14:textId="77777777" w:rsidTr="00C11DAC">
        <w:trPr>
          <w:trHeight w:val="316"/>
        </w:trPr>
        <w:tc>
          <w:tcPr>
            <w:tcW w:w="3725" w:type="dxa"/>
            <w:tcBorders>
              <w:top w:val="nil"/>
              <w:left w:val="single" w:sz="8" w:space="0" w:color="auto"/>
              <w:bottom w:val="single" w:sz="8" w:space="0" w:color="auto"/>
              <w:right w:val="single" w:sz="4" w:space="0" w:color="auto"/>
            </w:tcBorders>
            <w:shd w:val="clear" w:color="auto" w:fill="auto"/>
            <w:vAlign w:val="center"/>
          </w:tcPr>
          <w:p w14:paraId="0F56DCEA"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1265C252"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64DC77F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8F21C35"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B311E4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07" w:type="dxa"/>
            <w:tcBorders>
              <w:top w:val="nil"/>
              <w:left w:val="nil"/>
              <w:bottom w:val="single" w:sz="8" w:space="0" w:color="auto"/>
              <w:right w:val="single" w:sz="4" w:space="0" w:color="auto"/>
            </w:tcBorders>
            <w:shd w:val="clear" w:color="auto" w:fill="auto"/>
            <w:vAlign w:val="center"/>
          </w:tcPr>
          <w:p w14:paraId="266381E8"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D99708D"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616C5CC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Business Growth</w:t>
            </w:r>
          </w:p>
        </w:tc>
        <w:tc>
          <w:tcPr>
            <w:tcW w:w="939" w:type="dxa"/>
            <w:tcBorders>
              <w:top w:val="nil"/>
              <w:left w:val="nil"/>
              <w:bottom w:val="single" w:sz="4" w:space="0" w:color="auto"/>
              <w:right w:val="single" w:sz="4" w:space="0" w:color="auto"/>
            </w:tcBorders>
            <w:shd w:val="clear" w:color="auto" w:fill="auto"/>
            <w:vAlign w:val="center"/>
            <w:hideMark/>
          </w:tcPr>
          <w:p w14:paraId="152FB99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0.733</w:t>
            </w:r>
          </w:p>
        </w:tc>
        <w:tc>
          <w:tcPr>
            <w:tcW w:w="1050" w:type="dxa"/>
            <w:tcBorders>
              <w:top w:val="nil"/>
              <w:left w:val="nil"/>
              <w:bottom w:val="single" w:sz="4" w:space="0" w:color="auto"/>
              <w:right w:val="single" w:sz="4" w:space="0" w:color="auto"/>
            </w:tcBorders>
            <w:shd w:val="clear" w:color="auto" w:fill="auto"/>
            <w:vAlign w:val="center"/>
            <w:hideMark/>
          </w:tcPr>
          <w:p w14:paraId="62EF053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1.276</w:t>
            </w:r>
          </w:p>
        </w:tc>
        <w:tc>
          <w:tcPr>
            <w:tcW w:w="1050" w:type="dxa"/>
            <w:tcBorders>
              <w:top w:val="nil"/>
              <w:left w:val="nil"/>
              <w:bottom w:val="single" w:sz="4" w:space="0" w:color="auto"/>
              <w:right w:val="single" w:sz="4" w:space="0" w:color="auto"/>
            </w:tcBorders>
            <w:shd w:val="clear" w:color="000000" w:fill="D9D9D9"/>
            <w:vAlign w:val="center"/>
            <w:hideMark/>
          </w:tcPr>
          <w:p w14:paraId="06A8978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0.543</w:t>
            </w:r>
          </w:p>
        </w:tc>
        <w:tc>
          <w:tcPr>
            <w:tcW w:w="1050" w:type="dxa"/>
            <w:tcBorders>
              <w:top w:val="nil"/>
              <w:left w:val="nil"/>
              <w:bottom w:val="single" w:sz="4" w:space="0" w:color="auto"/>
              <w:right w:val="single" w:sz="4" w:space="0" w:color="auto"/>
            </w:tcBorders>
            <w:shd w:val="clear" w:color="auto" w:fill="auto"/>
            <w:vAlign w:val="center"/>
            <w:hideMark/>
          </w:tcPr>
          <w:p w14:paraId="0CCAE46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74.08%</w:t>
            </w:r>
          </w:p>
        </w:tc>
        <w:tc>
          <w:tcPr>
            <w:tcW w:w="1207" w:type="dxa"/>
            <w:tcBorders>
              <w:top w:val="nil"/>
              <w:left w:val="nil"/>
              <w:bottom w:val="single" w:sz="4" w:space="0" w:color="auto"/>
              <w:right w:val="single" w:sz="4" w:space="0" w:color="auto"/>
            </w:tcBorders>
            <w:shd w:val="clear" w:color="000000" w:fill="D9D9D9"/>
            <w:vAlign w:val="center"/>
            <w:hideMark/>
          </w:tcPr>
          <w:p w14:paraId="5EA7FCC8"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0.633</w:t>
            </w:r>
          </w:p>
        </w:tc>
      </w:tr>
      <w:tr w:rsidR="000F78F1" w:rsidRPr="000F78F1" w14:paraId="34562C33"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327FC0A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Strategic Development</w:t>
            </w:r>
          </w:p>
        </w:tc>
        <w:tc>
          <w:tcPr>
            <w:tcW w:w="939" w:type="dxa"/>
            <w:tcBorders>
              <w:top w:val="nil"/>
              <w:left w:val="nil"/>
              <w:bottom w:val="single" w:sz="4" w:space="0" w:color="auto"/>
              <w:right w:val="single" w:sz="4" w:space="0" w:color="auto"/>
            </w:tcBorders>
            <w:shd w:val="clear" w:color="auto" w:fill="auto"/>
            <w:vAlign w:val="center"/>
            <w:hideMark/>
          </w:tcPr>
          <w:p w14:paraId="6A0E315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6.909</w:t>
            </w:r>
          </w:p>
        </w:tc>
        <w:tc>
          <w:tcPr>
            <w:tcW w:w="1050" w:type="dxa"/>
            <w:tcBorders>
              <w:top w:val="nil"/>
              <w:left w:val="nil"/>
              <w:bottom w:val="single" w:sz="4" w:space="0" w:color="auto"/>
              <w:right w:val="single" w:sz="4" w:space="0" w:color="auto"/>
            </w:tcBorders>
            <w:shd w:val="clear" w:color="auto" w:fill="auto"/>
            <w:vAlign w:val="center"/>
            <w:hideMark/>
          </w:tcPr>
          <w:p w14:paraId="3D86ACD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6.209</w:t>
            </w:r>
          </w:p>
        </w:tc>
        <w:tc>
          <w:tcPr>
            <w:tcW w:w="1050" w:type="dxa"/>
            <w:tcBorders>
              <w:top w:val="nil"/>
              <w:left w:val="nil"/>
              <w:bottom w:val="single" w:sz="4" w:space="0" w:color="auto"/>
              <w:right w:val="single" w:sz="4" w:space="0" w:color="auto"/>
            </w:tcBorders>
            <w:shd w:val="clear" w:color="000000" w:fill="D9D9D9"/>
            <w:vAlign w:val="center"/>
            <w:hideMark/>
          </w:tcPr>
          <w:p w14:paraId="72A0B73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-0.700</w:t>
            </w:r>
          </w:p>
        </w:tc>
        <w:tc>
          <w:tcPr>
            <w:tcW w:w="1050" w:type="dxa"/>
            <w:tcBorders>
              <w:top w:val="nil"/>
              <w:left w:val="nil"/>
              <w:bottom w:val="single" w:sz="4" w:space="0" w:color="auto"/>
              <w:right w:val="single" w:sz="4" w:space="0" w:color="auto"/>
            </w:tcBorders>
            <w:shd w:val="clear" w:color="auto" w:fill="auto"/>
            <w:vAlign w:val="center"/>
            <w:hideMark/>
          </w:tcPr>
          <w:p w14:paraId="1AA1013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-10.13%</w:t>
            </w:r>
          </w:p>
        </w:tc>
        <w:tc>
          <w:tcPr>
            <w:tcW w:w="1207" w:type="dxa"/>
            <w:tcBorders>
              <w:top w:val="nil"/>
              <w:left w:val="nil"/>
              <w:bottom w:val="single" w:sz="4" w:space="0" w:color="auto"/>
              <w:right w:val="single" w:sz="4" w:space="0" w:color="auto"/>
            </w:tcBorders>
            <w:shd w:val="clear" w:color="000000" w:fill="D9D9D9"/>
            <w:vAlign w:val="center"/>
            <w:hideMark/>
          </w:tcPr>
          <w:p w14:paraId="2DB92F3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-0.137</w:t>
            </w:r>
          </w:p>
        </w:tc>
      </w:tr>
      <w:tr w:rsidR="000F78F1" w:rsidRPr="000F78F1" w14:paraId="2378D0F5"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68EA6FB9"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LEP Coordination</w:t>
            </w:r>
          </w:p>
        </w:tc>
        <w:tc>
          <w:tcPr>
            <w:tcW w:w="939" w:type="dxa"/>
            <w:tcBorders>
              <w:top w:val="nil"/>
              <w:left w:val="nil"/>
              <w:bottom w:val="single" w:sz="4" w:space="0" w:color="auto"/>
              <w:right w:val="single" w:sz="4" w:space="0" w:color="auto"/>
            </w:tcBorders>
            <w:shd w:val="clear" w:color="auto" w:fill="auto"/>
            <w:vAlign w:val="center"/>
            <w:hideMark/>
          </w:tcPr>
          <w:p w14:paraId="04CD0C3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0.090</w:t>
            </w:r>
          </w:p>
        </w:tc>
        <w:tc>
          <w:tcPr>
            <w:tcW w:w="1050" w:type="dxa"/>
            <w:tcBorders>
              <w:top w:val="nil"/>
              <w:left w:val="nil"/>
              <w:bottom w:val="single" w:sz="4" w:space="0" w:color="auto"/>
              <w:right w:val="single" w:sz="4" w:space="0" w:color="auto"/>
            </w:tcBorders>
            <w:shd w:val="clear" w:color="auto" w:fill="auto"/>
            <w:vAlign w:val="center"/>
            <w:hideMark/>
          </w:tcPr>
          <w:p w14:paraId="49594A3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0.090</w:t>
            </w:r>
          </w:p>
        </w:tc>
        <w:tc>
          <w:tcPr>
            <w:tcW w:w="1050" w:type="dxa"/>
            <w:tcBorders>
              <w:top w:val="nil"/>
              <w:left w:val="nil"/>
              <w:bottom w:val="single" w:sz="4" w:space="0" w:color="auto"/>
              <w:right w:val="single" w:sz="4" w:space="0" w:color="auto"/>
            </w:tcBorders>
            <w:shd w:val="clear" w:color="000000" w:fill="D9D9D9"/>
            <w:vAlign w:val="center"/>
            <w:hideMark/>
          </w:tcPr>
          <w:p w14:paraId="018092A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3C86910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w:t>
            </w:r>
          </w:p>
        </w:tc>
        <w:tc>
          <w:tcPr>
            <w:tcW w:w="1207" w:type="dxa"/>
            <w:tcBorders>
              <w:top w:val="nil"/>
              <w:left w:val="nil"/>
              <w:bottom w:val="single" w:sz="4" w:space="0" w:color="auto"/>
              <w:right w:val="single" w:sz="4" w:space="0" w:color="auto"/>
            </w:tcBorders>
            <w:shd w:val="clear" w:color="000000" w:fill="D9D9D9"/>
            <w:vAlign w:val="center"/>
            <w:hideMark/>
          </w:tcPr>
          <w:p w14:paraId="11772951"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0.001</w:t>
            </w:r>
          </w:p>
        </w:tc>
      </w:tr>
      <w:tr w:rsidR="000F78F1" w:rsidRPr="000F78F1" w14:paraId="68CA5E7C" w14:textId="77777777" w:rsidTr="00C11DAC">
        <w:trPr>
          <w:trHeight w:val="301"/>
        </w:trPr>
        <w:tc>
          <w:tcPr>
            <w:tcW w:w="3725" w:type="dxa"/>
            <w:tcBorders>
              <w:top w:val="nil"/>
              <w:left w:val="single" w:sz="8" w:space="0" w:color="auto"/>
              <w:bottom w:val="single" w:sz="4" w:space="0" w:color="auto"/>
              <w:right w:val="single" w:sz="4" w:space="0" w:color="auto"/>
            </w:tcBorders>
            <w:shd w:val="clear" w:color="000000" w:fill="D9D9D9"/>
            <w:vAlign w:val="center"/>
            <w:hideMark/>
          </w:tcPr>
          <w:p w14:paraId="6CF51A3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Estates</w:t>
            </w:r>
          </w:p>
        </w:tc>
        <w:tc>
          <w:tcPr>
            <w:tcW w:w="939" w:type="dxa"/>
            <w:tcBorders>
              <w:top w:val="nil"/>
              <w:left w:val="nil"/>
              <w:bottom w:val="single" w:sz="4" w:space="0" w:color="auto"/>
              <w:right w:val="single" w:sz="4" w:space="0" w:color="auto"/>
            </w:tcBorders>
            <w:shd w:val="clear" w:color="auto" w:fill="auto"/>
            <w:vAlign w:val="center"/>
            <w:hideMark/>
          </w:tcPr>
          <w:p w14:paraId="11FCDB8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0.530</w:t>
            </w:r>
          </w:p>
        </w:tc>
        <w:tc>
          <w:tcPr>
            <w:tcW w:w="1050" w:type="dxa"/>
            <w:tcBorders>
              <w:top w:val="nil"/>
              <w:left w:val="nil"/>
              <w:bottom w:val="single" w:sz="4" w:space="0" w:color="auto"/>
              <w:right w:val="single" w:sz="4" w:space="0" w:color="auto"/>
            </w:tcBorders>
            <w:shd w:val="clear" w:color="auto" w:fill="auto"/>
            <w:vAlign w:val="center"/>
            <w:hideMark/>
          </w:tcPr>
          <w:p w14:paraId="2C7E683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0.442</w:t>
            </w:r>
          </w:p>
        </w:tc>
        <w:tc>
          <w:tcPr>
            <w:tcW w:w="1050" w:type="dxa"/>
            <w:tcBorders>
              <w:top w:val="nil"/>
              <w:left w:val="nil"/>
              <w:bottom w:val="single" w:sz="4" w:space="0" w:color="auto"/>
              <w:right w:val="single" w:sz="4" w:space="0" w:color="auto"/>
            </w:tcBorders>
            <w:shd w:val="clear" w:color="000000" w:fill="D9D9D9"/>
            <w:vAlign w:val="center"/>
            <w:hideMark/>
          </w:tcPr>
          <w:p w14:paraId="0871CDB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-0.088</w:t>
            </w:r>
          </w:p>
        </w:tc>
        <w:tc>
          <w:tcPr>
            <w:tcW w:w="1050" w:type="dxa"/>
            <w:tcBorders>
              <w:top w:val="nil"/>
              <w:left w:val="nil"/>
              <w:bottom w:val="single" w:sz="4" w:space="0" w:color="auto"/>
              <w:right w:val="single" w:sz="4" w:space="0" w:color="auto"/>
            </w:tcBorders>
            <w:shd w:val="clear" w:color="auto" w:fill="auto"/>
            <w:vAlign w:val="center"/>
            <w:hideMark/>
          </w:tcPr>
          <w:p w14:paraId="10EDD25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-16.60%</w:t>
            </w:r>
          </w:p>
        </w:tc>
        <w:tc>
          <w:tcPr>
            <w:tcW w:w="1207" w:type="dxa"/>
            <w:tcBorders>
              <w:top w:val="nil"/>
              <w:left w:val="nil"/>
              <w:bottom w:val="single" w:sz="4" w:space="0" w:color="auto"/>
              <w:right w:val="single" w:sz="4" w:space="0" w:color="auto"/>
            </w:tcBorders>
            <w:shd w:val="clear" w:color="000000" w:fill="D9D9D9"/>
            <w:vAlign w:val="center"/>
            <w:hideMark/>
          </w:tcPr>
          <w:p w14:paraId="0EAB9D9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27E85079" w14:textId="77777777" w:rsidTr="00C11DAC">
        <w:trPr>
          <w:trHeight w:val="316"/>
        </w:trPr>
        <w:tc>
          <w:tcPr>
            <w:tcW w:w="3725" w:type="dxa"/>
            <w:tcBorders>
              <w:top w:val="nil"/>
              <w:left w:val="single" w:sz="8" w:space="0" w:color="auto"/>
              <w:bottom w:val="single" w:sz="8" w:space="0" w:color="auto"/>
              <w:right w:val="single" w:sz="4" w:space="0" w:color="auto"/>
            </w:tcBorders>
            <w:shd w:val="clear" w:color="000000" w:fill="D9D9D9"/>
            <w:vAlign w:val="center"/>
            <w:hideMark/>
          </w:tcPr>
          <w:p w14:paraId="36979BB5"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Growth and Regeneration</w:t>
            </w:r>
          </w:p>
        </w:tc>
        <w:tc>
          <w:tcPr>
            <w:tcW w:w="939" w:type="dxa"/>
            <w:tcBorders>
              <w:top w:val="nil"/>
              <w:left w:val="nil"/>
              <w:bottom w:val="single" w:sz="8" w:space="0" w:color="auto"/>
              <w:right w:val="single" w:sz="4" w:space="0" w:color="auto"/>
            </w:tcBorders>
            <w:shd w:val="clear" w:color="000000" w:fill="D9D9D9"/>
            <w:vAlign w:val="center"/>
            <w:hideMark/>
          </w:tcPr>
          <w:p w14:paraId="713D2E5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8.262</w:t>
            </w:r>
          </w:p>
        </w:tc>
        <w:tc>
          <w:tcPr>
            <w:tcW w:w="1050" w:type="dxa"/>
            <w:tcBorders>
              <w:top w:val="nil"/>
              <w:left w:val="nil"/>
              <w:bottom w:val="single" w:sz="8" w:space="0" w:color="auto"/>
              <w:right w:val="single" w:sz="4" w:space="0" w:color="auto"/>
            </w:tcBorders>
            <w:shd w:val="clear" w:color="000000" w:fill="D9D9D9"/>
            <w:vAlign w:val="center"/>
            <w:hideMark/>
          </w:tcPr>
          <w:p w14:paraId="5328AE2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8.017</w:t>
            </w:r>
          </w:p>
        </w:tc>
        <w:tc>
          <w:tcPr>
            <w:tcW w:w="1050" w:type="dxa"/>
            <w:tcBorders>
              <w:top w:val="nil"/>
              <w:left w:val="nil"/>
              <w:bottom w:val="single" w:sz="8" w:space="0" w:color="auto"/>
              <w:right w:val="single" w:sz="4" w:space="0" w:color="auto"/>
            </w:tcBorders>
            <w:shd w:val="clear" w:color="000000" w:fill="D9D9D9"/>
            <w:vAlign w:val="center"/>
            <w:hideMark/>
          </w:tcPr>
          <w:p w14:paraId="5AADFE7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-0.245</w:t>
            </w:r>
          </w:p>
        </w:tc>
        <w:tc>
          <w:tcPr>
            <w:tcW w:w="1050" w:type="dxa"/>
            <w:tcBorders>
              <w:top w:val="nil"/>
              <w:left w:val="nil"/>
              <w:bottom w:val="single" w:sz="8" w:space="0" w:color="auto"/>
              <w:right w:val="single" w:sz="4" w:space="0" w:color="auto"/>
            </w:tcBorders>
            <w:shd w:val="clear" w:color="000000" w:fill="D9D9D9"/>
            <w:vAlign w:val="center"/>
            <w:hideMark/>
          </w:tcPr>
          <w:p w14:paraId="6008BF9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-2.97%</w:t>
            </w:r>
          </w:p>
        </w:tc>
        <w:tc>
          <w:tcPr>
            <w:tcW w:w="1207" w:type="dxa"/>
            <w:tcBorders>
              <w:top w:val="nil"/>
              <w:left w:val="nil"/>
              <w:bottom w:val="single" w:sz="8" w:space="0" w:color="auto"/>
              <w:right w:val="single" w:sz="4" w:space="0" w:color="auto"/>
            </w:tcBorders>
            <w:shd w:val="clear" w:color="000000" w:fill="D9D9D9"/>
            <w:vAlign w:val="center"/>
            <w:hideMark/>
          </w:tcPr>
          <w:p w14:paraId="4AAB47A5"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0.497</w:t>
            </w:r>
          </w:p>
        </w:tc>
      </w:tr>
      <w:tr w:rsidR="000F78F1" w:rsidRPr="000F78F1" w14:paraId="408DA780" w14:textId="77777777" w:rsidTr="00C11DAC">
        <w:trPr>
          <w:trHeight w:val="316"/>
        </w:trPr>
        <w:tc>
          <w:tcPr>
            <w:tcW w:w="3725" w:type="dxa"/>
            <w:tcBorders>
              <w:top w:val="nil"/>
              <w:left w:val="single" w:sz="8" w:space="0" w:color="auto"/>
              <w:bottom w:val="single" w:sz="8" w:space="0" w:color="auto"/>
              <w:right w:val="single" w:sz="4" w:space="0" w:color="auto"/>
            </w:tcBorders>
            <w:shd w:val="clear" w:color="auto" w:fill="auto"/>
            <w:vAlign w:val="center"/>
          </w:tcPr>
          <w:p w14:paraId="1663E908"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11EF9ECB"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30AB7EC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3E2B788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24BAA908"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07" w:type="dxa"/>
            <w:tcBorders>
              <w:top w:val="nil"/>
              <w:left w:val="nil"/>
              <w:bottom w:val="single" w:sz="8" w:space="0" w:color="auto"/>
              <w:right w:val="single" w:sz="4" w:space="0" w:color="auto"/>
            </w:tcBorders>
            <w:shd w:val="clear" w:color="auto" w:fill="auto"/>
            <w:vAlign w:val="center"/>
          </w:tcPr>
          <w:p w14:paraId="27F36C4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3007EE4E" w14:textId="77777777" w:rsidTr="00C11DAC">
        <w:trPr>
          <w:trHeight w:val="301"/>
        </w:trPr>
        <w:tc>
          <w:tcPr>
            <w:tcW w:w="3725"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55FACD3"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Planning And Environment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275CD8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3.420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C5A9AB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3.251</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AED72A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-0.169</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25488A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-4.94%</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500A23B0"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-0.125</w:t>
            </w:r>
          </w:p>
        </w:tc>
      </w:tr>
      <w:tr w:rsidR="000F78F1" w:rsidRPr="000F78F1" w14:paraId="535F0C45" w14:textId="77777777" w:rsidTr="00C11DAC">
        <w:trPr>
          <w:trHeight w:val="316"/>
        </w:trPr>
        <w:tc>
          <w:tcPr>
            <w:tcW w:w="3725" w:type="dxa"/>
            <w:tcBorders>
              <w:top w:val="nil"/>
              <w:left w:val="single" w:sz="8" w:space="0" w:color="auto"/>
              <w:bottom w:val="single" w:sz="8" w:space="0" w:color="auto"/>
              <w:right w:val="single" w:sz="4" w:space="0" w:color="auto"/>
            </w:tcBorders>
            <w:shd w:val="clear" w:color="000000" w:fill="D9D9D9"/>
            <w:vAlign w:val="center"/>
            <w:hideMark/>
          </w:tcPr>
          <w:p w14:paraId="3B4DF83C"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Environment and Planning</w:t>
            </w:r>
          </w:p>
        </w:tc>
        <w:tc>
          <w:tcPr>
            <w:tcW w:w="939" w:type="dxa"/>
            <w:tcBorders>
              <w:top w:val="nil"/>
              <w:left w:val="nil"/>
              <w:bottom w:val="single" w:sz="8" w:space="0" w:color="auto"/>
              <w:right w:val="single" w:sz="4" w:space="0" w:color="auto"/>
            </w:tcBorders>
            <w:shd w:val="clear" w:color="000000" w:fill="D9D9D9"/>
            <w:vAlign w:val="center"/>
            <w:hideMark/>
          </w:tcPr>
          <w:p w14:paraId="3938DDB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3.420</w:t>
            </w:r>
          </w:p>
        </w:tc>
        <w:tc>
          <w:tcPr>
            <w:tcW w:w="1050" w:type="dxa"/>
            <w:tcBorders>
              <w:top w:val="nil"/>
              <w:left w:val="nil"/>
              <w:bottom w:val="single" w:sz="8" w:space="0" w:color="auto"/>
              <w:right w:val="single" w:sz="4" w:space="0" w:color="auto"/>
            </w:tcBorders>
            <w:shd w:val="clear" w:color="000000" w:fill="D9D9D9"/>
            <w:vAlign w:val="center"/>
            <w:hideMark/>
          </w:tcPr>
          <w:p w14:paraId="559F10C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3.251</w:t>
            </w:r>
          </w:p>
        </w:tc>
        <w:tc>
          <w:tcPr>
            <w:tcW w:w="1050" w:type="dxa"/>
            <w:tcBorders>
              <w:top w:val="nil"/>
              <w:left w:val="nil"/>
              <w:bottom w:val="single" w:sz="8" w:space="0" w:color="auto"/>
              <w:right w:val="single" w:sz="4" w:space="0" w:color="auto"/>
            </w:tcBorders>
            <w:shd w:val="clear" w:color="000000" w:fill="D9D9D9"/>
            <w:vAlign w:val="center"/>
            <w:hideMark/>
          </w:tcPr>
          <w:p w14:paraId="52542EF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-0.169</w:t>
            </w:r>
          </w:p>
        </w:tc>
        <w:tc>
          <w:tcPr>
            <w:tcW w:w="1050" w:type="dxa"/>
            <w:tcBorders>
              <w:top w:val="nil"/>
              <w:left w:val="nil"/>
              <w:bottom w:val="single" w:sz="8" w:space="0" w:color="auto"/>
              <w:right w:val="single" w:sz="4" w:space="0" w:color="auto"/>
            </w:tcBorders>
            <w:shd w:val="clear" w:color="000000" w:fill="D9D9D9"/>
            <w:vAlign w:val="center"/>
            <w:hideMark/>
          </w:tcPr>
          <w:p w14:paraId="029B615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-4.94%</w:t>
            </w:r>
          </w:p>
        </w:tc>
        <w:tc>
          <w:tcPr>
            <w:tcW w:w="1207" w:type="dxa"/>
            <w:tcBorders>
              <w:top w:val="nil"/>
              <w:left w:val="nil"/>
              <w:bottom w:val="single" w:sz="8" w:space="0" w:color="auto"/>
              <w:right w:val="single" w:sz="4" w:space="0" w:color="auto"/>
            </w:tcBorders>
            <w:shd w:val="clear" w:color="000000" w:fill="D9D9D9"/>
            <w:vAlign w:val="center"/>
            <w:hideMark/>
          </w:tcPr>
          <w:p w14:paraId="1DF17696"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0.869</w:t>
            </w:r>
          </w:p>
        </w:tc>
      </w:tr>
      <w:tr w:rsidR="000F78F1" w:rsidRPr="000F78F1" w14:paraId="7DCF1734" w14:textId="77777777" w:rsidTr="00C11DAC">
        <w:trPr>
          <w:trHeight w:val="316"/>
        </w:trPr>
        <w:tc>
          <w:tcPr>
            <w:tcW w:w="3725" w:type="dxa"/>
            <w:tcBorders>
              <w:top w:val="single" w:sz="4" w:space="0" w:color="auto"/>
              <w:left w:val="single" w:sz="8" w:space="0" w:color="auto"/>
              <w:bottom w:val="single" w:sz="8" w:space="0" w:color="auto"/>
              <w:right w:val="single" w:sz="4" w:space="0" w:color="auto"/>
            </w:tcBorders>
            <w:shd w:val="clear" w:color="auto" w:fill="auto"/>
            <w:vAlign w:val="center"/>
          </w:tcPr>
          <w:p w14:paraId="00669141"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939" w:type="dxa"/>
            <w:tcBorders>
              <w:top w:val="single" w:sz="4" w:space="0" w:color="auto"/>
              <w:left w:val="nil"/>
              <w:bottom w:val="single" w:sz="8" w:space="0" w:color="auto"/>
              <w:right w:val="single" w:sz="4" w:space="0" w:color="auto"/>
            </w:tcBorders>
            <w:shd w:val="clear" w:color="auto" w:fill="auto"/>
            <w:vAlign w:val="center"/>
          </w:tcPr>
          <w:p w14:paraId="79DF2A7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single" w:sz="4" w:space="0" w:color="auto"/>
              <w:left w:val="nil"/>
              <w:bottom w:val="single" w:sz="8" w:space="0" w:color="auto"/>
              <w:right w:val="single" w:sz="4" w:space="0" w:color="auto"/>
            </w:tcBorders>
            <w:shd w:val="clear" w:color="auto" w:fill="auto"/>
            <w:vAlign w:val="center"/>
          </w:tcPr>
          <w:p w14:paraId="016C74B2"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single" w:sz="4" w:space="0" w:color="auto"/>
              <w:left w:val="nil"/>
              <w:bottom w:val="single" w:sz="8" w:space="0" w:color="auto"/>
              <w:right w:val="single" w:sz="4" w:space="0" w:color="auto"/>
            </w:tcBorders>
            <w:shd w:val="clear" w:color="auto" w:fill="auto"/>
            <w:vAlign w:val="center"/>
          </w:tcPr>
          <w:p w14:paraId="38C5765B"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0" w:type="dxa"/>
            <w:tcBorders>
              <w:top w:val="single" w:sz="4" w:space="0" w:color="auto"/>
              <w:left w:val="nil"/>
              <w:bottom w:val="single" w:sz="8" w:space="0" w:color="auto"/>
              <w:right w:val="single" w:sz="4" w:space="0" w:color="auto"/>
            </w:tcBorders>
            <w:shd w:val="clear" w:color="auto" w:fill="auto"/>
            <w:vAlign w:val="center"/>
          </w:tcPr>
          <w:p w14:paraId="0A5A428D"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07" w:type="dxa"/>
            <w:tcBorders>
              <w:top w:val="single" w:sz="4" w:space="0" w:color="auto"/>
              <w:left w:val="nil"/>
              <w:bottom w:val="single" w:sz="8" w:space="0" w:color="auto"/>
              <w:right w:val="single" w:sz="4" w:space="0" w:color="auto"/>
            </w:tcBorders>
            <w:shd w:val="clear" w:color="auto" w:fill="auto"/>
            <w:vAlign w:val="center"/>
          </w:tcPr>
          <w:p w14:paraId="43B7D0B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3612078A" w14:textId="77777777" w:rsidTr="00C11DAC">
        <w:trPr>
          <w:trHeight w:val="316"/>
        </w:trPr>
        <w:tc>
          <w:tcPr>
            <w:tcW w:w="3725"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CBA2978" w14:textId="77777777" w:rsidR="000F78F1" w:rsidRPr="000F78F1" w:rsidRDefault="000F78F1" w:rsidP="000F78F1">
            <w:pPr>
              <w:autoSpaceDE/>
              <w:autoSpaceDN/>
              <w:adjustRightInd/>
              <w:spacing w:after="0"/>
              <w:jc w:val="left"/>
              <w:rPr>
                <w:rFonts w:eastAsia="Times New Roman" w:cs="Arial"/>
                <w:b/>
                <w:bCs/>
                <w:lang w:eastAsia="en-GB"/>
              </w:rPr>
            </w:pPr>
            <w:r w:rsidRPr="000F78F1">
              <w:rPr>
                <w:rFonts w:eastAsia="Times New Roman" w:cs="Arial"/>
                <w:b/>
                <w:bCs/>
                <w:lang w:eastAsia="en-GB"/>
              </w:rPr>
              <w:t>Total Growth Environment and Transport</w:t>
            </w:r>
          </w:p>
        </w:tc>
        <w:tc>
          <w:tcPr>
            <w:tcW w:w="939" w:type="dxa"/>
            <w:tcBorders>
              <w:top w:val="single" w:sz="4" w:space="0" w:color="auto"/>
              <w:left w:val="nil"/>
              <w:bottom w:val="single" w:sz="8" w:space="0" w:color="auto"/>
              <w:right w:val="single" w:sz="4" w:space="0" w:color="auto"/>
            </w:tcBorders>
            <w:shd w:val="clear" w:color="000000" w:fill="D9D9D9"/>
            <w:vAlign w:val="center"/>
            <w:hideMark/>
          </w:tcPr>
          <w:p w14:paraId="5CD59292"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158.488</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0864CACD"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159.283</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1DC4D332"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0.795</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22E6EBE6"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0.50%</w:t>
            </w:r>
          </w:p>
        </w:tc>
        <w:tc>
          <w:tcPr>
            <w:tcW w:w="1207" w:type="dxa"/>
            <w:tcBorders>
              <w:top w:val="single" w:sz="4" w:space="0" w:color="auto"/>
              <w:left w:val="nil"/>
              <w:bottom w:val="single" w:sz="8" w:space="0" w:color="auto"/>
              <w:right w:val="single" w:sz="4" w:space="0" w:color="auto"/>
            </w:tcBorders>
            <w:shd w:val="clear" w:color="000000" w:fill="D9D9D9"/>
            <w:vAlign w:val="center"/>
            <w:hideMark/>
          </w:tcPr>
          <w:p w14:paraId="0FF49C04" w14:textId="77777777" w:rsidR="000F78F1" w:rsidRPr="000F78F1" w:rsidRDefault="000F78F1" w:rsidP="000F78F1">
            <w:pPr>
              <w:autoSpaceDE/>
              <w:autoSpaceDN/>
              <w:adjustRightInd/>
              <w:spacing w:after="0"/>
              <w:jc w:val="right"/>
              <w:rPr>
                <w:rFonts w:eastAsia="Times New Roman" w:cs="Arial"/>
                <w:b/>
                <w:bCs/>
                <w:lang w:eastAsia="en-GB"/>
              </w:rPr>
            </w:pPr>
            <w:r w:rsidRPr="000F78F1">
              <w:rPr>
                <w:rFonts w:eastAsia="Times New Roman" w:cs="Arial"/>
                <w:b/>
                <w:bCs/>
                <w:lang w:eastAsia="en-GB"/>
              </w:rPr>
              <w:t>2.482</w:t>
            </w:r>
          </w:p>
        </w:tc>
      </w:tr>
    </w:tbl>
    <w:p w14:paraId="6CB81AE9" w14:textId="77777777" w:rsidR="000F78F1" w:rsidRPr="000F78F1" w:rsidRDefault="000F78F1" w:rsidP="000F78F1">
      <w:pPr>
        <w:spacing w:after="0"/>
        <w:textAlignment w:val="baseline"/>
        <w:rPr>
          <w:rFonts w:eastAsia="Times New Roman" w:cs="Arial"/>
          <w:lang w:eastAsia="en-GB"/>
        </w:rPr>
      </w:pPr>
    </w:p>
    <w:p w14:paraId="6DED5E6B" w14:textId="77777777" w:rsidR="000F78F1" w:rsidRPr="000F78F1" w:rsidRDefault="000F78F1" w:rsidP="000F78F1">
      <w:pPr>
        <w:spacing w:after="0"/>
        <w:textAlignment w:val="baseline"/>
        <w:rPr>
          <w:rFonts w:eastAsia="Times New Roman" w:cs="Arial"/>
          <w:b/>
          <w:bCs/>
          <w:u w:val="single"/>
          <w:lang w:eastAsia="en-GB"/>
        </w:rPr>
      </w:pPr>
      <w:r w:rsidRPr="000F78F1">
        <w:rPr>
          <w:rFonts w:eastAsia="Times New Roman" w:cs="Arial"/>
          <w:b/>
          <w:bCs/>
          <w:u w:val="single"/>
          <w:lang w:eastAsia="en-GB"/>
        </w:rPr>
        <w:t>Overall Position – Forecast overspend £0.795m</w:t>
      </w:r>
    </w:p>
    <w:p w14:paraId="464C1FCA"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annual budget for Growth, Environmental and Transport Department management team is £158.488m, the forecast position for 2022/23 as at Quarter 2 is an overspend of £0.795m. </w:t>
      </w:r>
    </w:p>
    <w:p w14:paraId="716C5807" w14:textId="77777777" w:rsidR="000F78F1" w:rsidRPr="000F78F1" w:rsidRDefault="000F78F1" w:rsidP="000F78F1">
      <w:pPr>
        <w:spacing w:after="0"/>
        <w:textAlignment w:val="baseline"/>
        <w:rPr>
          <w:rFonts w:eastAsia="Times New Roman" w:cs="Arial"/>
          <w:b/>
          <w:bCs/>
          <w:lang w:eastAsia="en-GB"/>
        </w:rPr>
      </w:pPr>
      <w:r w:rsidRPr="000F78F1">
        <w:rPr>
          <w:rFonts w:eastAsia="Times New Roman" w:cs="Arial"/>
          <w:lang w:eastAsia="en-GB"/>
        </w:rPr>
        <w:t> </w:t>
      </w:r>
    </w:p>
    <w:p w14:paraId="647A07F7" w14:textId="77777777" w:rsidR="000F78F1" w:rsidRPr="000F78F1" w:rsidRDefault="000F78F1" w:rsidP="000F78F1">
      <w:pPr>
        <w:spacing w:after="0"/>
        <w:textAlignment w:val="baseline"/>
        <w:rPr>
          <w:rFonts w:ascii="Segoe UI" w:eastAsia="Times New Roman" w:hAnsi="Segoe UI" w:cs="Segoe UI"/>
          <w:b/>
          <w:bCs/>
          <w:u w:val="single"/>
          <w:lang w:eastAsia="en-GB"/>
        </w:rPr>
      </w:pPr>
      <w:r w:rsidRPr="000F78F1">
        <w:rPr>
          <w:rFonts w:eastAsia="Times New Roman" w:cs="Arial"/>
          <w:b/>
          <w:bCs/>
          <w:u w:val="single"/>
          <w:lang w:eastAsia="en-GB"/>
        </w:rPr>
        <w:t>Highways and Transport - Forecast overspend £1.209m</w:t>
      </w:r>
    </w:p>
    <w:p w14:paraId="38907FA6" w14:textId="77777777" w:rsidR="000F78F1" w:rsidRPr="000F78F1" w:rsidRDefault="000F78F1" w:rsidP="000F78F1">
      <w:pPr>
        <w:spacing w:after="0"/>
        <w:textAlignment w:val="baseline"/>
        <w:rPr>
          <w:rFonts w:eastAsia="Times New Roman" w:cs="Arial"/>
          <w:color w:val="FF0000"/>
          <w:lang w:eastAsia="en-GB"/>
        </w:rPr>
      </w:pPr>
      <w:r w:rsidRPr="000F78F1">
        <w:rPr>
          <w:rFonts w:eastAsia="Times New Roman" w:cs="Arial"/>
          <w:lang w:eastAsia="en-GB"/>
        </w:rPr>
        <w:t>The total net approved budget for Highways and Transport in 2022/23 is £146.806m. As at the end of Quarter 1, the service is forecast to overspend by £1.209m</w:t>
      </w:r>
      <w:r w:rsidRPr="000F78F1">
        <w:rPr>
          <w:rFonts w:eastAsia="Times New Roman" w:cs="Arial"/>
          <w:color w:val="FF0000"/>
          <w:lang w:eastAsia="en-GB"/>
        </w:rPr>
        <w:t>.</w:t>
      </w:r>
    </w:p>
    <w:p w14:paraId="1A7DD2E2" w14:textId="77777777" w:rsidR="000F78F1" w:rsidRPr="000F78F1" w:rsidRDefault="000F78F1" w:rsidP="000F78F1">
      <w:pPr>
        <w:spacing w:after="0"/>
        <w:textAlignment w:val="baseline"/>
        <w:rPr>
          <w:rFonts w:eastAsia="Times New Roman" w:cs="Arial"/>
          <w:color w:val="FF0000"/>
          <w:lang w:eastAsia="en-GB"/>
        </w:rPr>
      </w:pPr>
    </w:p>
    <w:p w14:paraId="680FD7D4"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Waste Management – Forecast underspend £0.479m</w:t>
      </w:r>
      <w:r w:rsidRPr="000F78F1">
        <w:rPr>
          <w:rFonts w:eastAsia="Times New Roman" w:cs="Arial"/>
          <w:lang w:eastAsia="en-GB"/>
        </w:rPr>
        <w:t>  </w:t>
      </w:r>
    </w:p>
    <w:p w14:paraId="42D7D4E7" w14:textId="4DAF528E" w:rsidR="000F78F1" w:rsidRPr="000F78F1" w:rsidRDefault="000F78F1" w:rsidP="000F78F1">
      <w:pPr>
        <w:spacing w:after="0"/>
        <w:contextualSpacing/>
        <w:rPr>
          <w:rFonts w:eastAsia="Times New Roman" w:cs="Arial"/>
          <w:lang w:eastAsia="en-GB"/>
        </w:rPr>
      </w:pPr>
      <w:r w:rsidRPr="000F78F1">
        <w:rPr>
          <w:rFonts w:eastAsia="Times New Roman" w:cs="Arial"/>
          <w:lang w:eastAsia="en-GB"/>
        </w:rPr>
        <w:t>The service is currently expected to overachieve income projections from recyclable materials forecast by as much as £1.000m. Prices are volatile and whilst they remain significantly higher than budgeted for in 2021/22, there is a risk they do not remain at the same level.  Consequently, the MTFS was not adjusted to reflect continued high prices in 2022/23.</w:t>
      </w:r>
      <w:r w:rsidR="00377F81">
        <w:rPr>
          <w:rFonts w:eastAsia="Times New Roman" w:cs="Arial"/>
          <w:lang w:eastAsia="en-GB"/>
        </w:rPr>
        <w:t xml:space="preserve"> </w:t>
      </w:r>
      <w:r w:rsidRPr="000F78F1">
        <w:rPr>
          <w:rFonts w:eastAsia="Times New Roman" w:cs="Arial"/>
          <w:lang w:eastAsia="en-GB"/>
        </w:rPr>
        <w:t>Based on current data the service does forecast another significant over recovery of income in 2022/23 although the market has seen some reductions in paper and card prices that are reflected in the forecast.</w:t>
      </w:r>
    </w:p>
    <w:p w14:paraId="6D0F898B" w14:textId="77777777" w:rsidR="000F78F1" w:rsidRPr="000F78F1" w:rsidRDefault="000F78F1" w:rsidP="000F78F1">
      <w:pPr>
        <w:spacing w:after="0"/>
        <w:contextualSpacing/>
        <w:rPr>
          <w:rFonts w:eastAsia="Times New Roman" w:cs="Arial"/>
          <w:lang w:eastAsia="en-GB"/>
        </w:rPr>
      </w:pPr>
    </w:p>
    <w:p w14:paraId="081C7B5B" w14:textId="77777777" w:rsidR="000F78F1" w:rsidRPr="000F78F1" w:rsidRDefault="000F78F1" w:rsidP="000F78F1">
      <w:pPr>
        <w:spacing w:after="0"/>
        <w:contextualSpacing/>
        <w:rPr>
          <w:rFonts w:eastAsia="Times New Roman" w:cs="Arial"/>
          <w:lang w:eastAsia="en-GB"/>
        </w:rPr>
      </w:pPr>
      <w:r w:rsidRPr="000F78F1">
        <w:rPr>
          <w:rFonts w:eastAsia="Times New Roman" w:cs="Arial"/>
          <w:lang w:eastAsia="en-GB"/>
        </w:rPr>
        <w:t xml:space="preserve">In addition, further underspends are now forecast due to the reduced costs of waste disposal. The service has seen a reduction in the amount of waste it is required to dispose of in the first 5 months of 2022/23 of almost 9,000 tonnes compared to the same period of 2021/22. The current forecast assumes that tonnages for the </w:t>
      </w:r>
      <w:r w:rsidRPr="000F78F1">
        <w:rPr>
          <w:rFonts w:eastAsia="Times New Roman" w:cs="Arial"/>
          <w:lang w:eastAsia="en-GB"/>
        </w:rPr>
        <w:lastRenderedPageBreak/>
        <w:t xml:space="preserve">remainder of this financial year will be the same as they were last year.  The forecast underspend of c£400,000 from waste being diverted from landfill (to refuse derived fuel ('RDF')) is partly offset by the RDF costs being higher than originally assumed in the budget </w:t>
      </w:r>
      <w:proofErr w:type="gramStart"/>
      <w:r w:rsidRPr="000F78F1">
        <w:rPr>
          <w:rFonts w:eastAsia="Times New Roman" w:cs="Arial"/>
          <w:lang w:eastAsia="en-GB"/>
        </w:rPr>
        <w:t>and also</w:t>
      </w:r>
      <w:proofErr w:type="gramEnd"/>
      <w:r w:rsidRPr="000F78F1">
        <w:rPr>
          <w:rFonts w:eastAsia="Times New Roman" w:cs="Arial"/>
          <w:lang w:eastAsia="en-GB"/>
        </w:rPr>
        <w:t xml:space="preserve"> because minimum tonnages are built into the landfill contract, meaning the county council is still liable to pay the landfill gate fee for approximately 4,000 tonnes of waste.</w:t>
      </w:r>
    </w:p>
    <w:p w14:paraId="47B50E3A" w14:textId="77777777" w:rsidR="000F78F1" w:rsidRPr="000F78F1" w:rsidRDefault="000F78F1" w:rsidP="000F78F1">
      <w:pPr>
        <w:spacing w:after="0"/>
        <w:contextualSpacing/>
        <w:rPr>
          <w:rFonts w:cs="Arial"/>
          <w:bCs/>
        </w:rPr>
      </w:pPr>
    </w:p>
    <w:p w14:paraId="07EF9B71" w14:textId="77777777" w:rsidR="000F78F1" w:rsidRPr="000F78F1" w:rsidRDefault="000F78F1" w:rsidP="000F78F1">
      <w:pPr>
        <w:spacing w:after="0"/>
        <w:contextualSpacing/>
        <w:rPr>
          <w:rFonts w:cs="Arial"/>
          <w:bCs/>
        </w:rPr>
      </w:pPr>
      <w:r w:rsidRPr="000F78F1">
        <w:rPr>
          <w:rFonts w:cs="Arial"/>
          <w:bCs/>
        </w:rPr>
        <w:t>Partly offsetting the above are forecast overspends of c£1.000m at the household waste recycling centres predominantly relating to increased maintenance requirements. Maintenance requirements at each site have been reviewed and the additional work required includes maintenance of skips, bottle banks and cabins and renewal of signs and road markings to ensure sites operate safely.</w:t>
      </w:r>
    </w:p>
    <w:p w14:paraId="0E2B05C3" w14:textId="77777777" w:rsidR="000F78F1" w:rsidRPr="000F78F1" w:rsidRDefault="000F78F1" w:rsidP="000F78F1">
      <w:pPr>
        <w:spacing w:after="0"/>
        <w:contextualSpacing/>
        <w:rPr>
          <w:rFonts w:cs="Arial"/>
          <w:bCs/>
        </w:rPr>
      </w:pPr>
    </w:p>
    <w:p w14:paraId="2388B6CD" w14:textId="77777777" w:rsidR="000F78F1" w:rsidRPr="000F78F1" w:rsidRDefault="000F78F1" w:rsidP="000F78F1">
      <w:pPr>
        <w:spacing w:after="0"/>
        <w:contextualSpacing/>
        <w:rPr>
          <w:rFonts w:cs="Arial"/>
          <w:bCs/>
        </w:rPr>
      </w:pPr>
      <w:r w:rsidRPr="000F78F1">
        <w:rPr>
          <w:rFonts w:cs="Arial"/>
          <w:bCs/>
        </w:rPr>
        <w:t xml:space="preserve">There are </w:t>
      </w:r>
      <w:proofErr w:type="gramStart"/>
      <w:r w:rsidRPr="000F78F1">
        <w:rPr>
          <w:rFonts w:cs="Arial"/>
          <w:bCs/>
        </w:rPr>
        <w:t>a number of</w:t>
      </w:r>
      <w:proofErr w:type="gramEnd"/>
      <w:r w:rsidRPr="000F78F1">
        <w:rPr>
          <w:rFonts w:cs="Arial"/>
          <w:bCs/>
        </w:rPr>
        <w:t xml:space="preserve"> other smaller offsetting variances across the service including overspends on the waste company operating costs due to increases in utility prices and underspends on green waste and legal costs.</w:t>
      </w:r>
    </w:p>
    <w:p w14:paraId="4ED98959" w14:textId="77777777" w:rsidR="000F78F1" w:rsidRPr="000F78F1" w:rsidRDefault="000F78F1" w:rsidP="000F78F1">
      <w:pPr>
        <w:spacing w:after="0"/>
        <w:textAlignment w:val="baseline"/>
        <w:rPr>
          <w:rFonts w:eastAsia="Times New Roman" w:cs="Arial"/>
          <w:color w:val="FF0000"/>
          <w:lang w:eastAsia="en-GB"/>
        </w:rPr>
      </w:pPr>
      <w:r w:rsidRPr="000F78F1">
        <w:rPr>
          <w:rFonts w:eastAsia="Times New Roman" w:cs="Arial"/>
          <w:color w:val="FF0000"/>
          <w:lang w:eastAsia="en-GB"/>
        </w:rPr>
        <w:t> </w:t>
      </w:r>
    </w:p>
    <w:p w14:paraId="0A7701FD"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Highways – Forecast underspend of £1.178m </w:t>
      </w:r>
      <w:r w:rsidRPr="000F78F1">
        <w:rPr>
          <w:rFonts w:eastAsia="Times New Roman" w:cs="Arial"/>
          <w:lang w:eastAsia="en-GB"/>
        </w:rPr>
        <w:t> </w:t>
      </w:r>
    </w:p>
    <w:p w14:paraId="1293F48B" w14:textId="77777777" w:rsidR="000F78F1" w:rsidRPr="000F78F1" w:rsidRDefault="000F78F1" w:rsidP="000F78F1">
      <w:pPr>
        <w:spacing w:after="0"/>
        <w:contextualSpacing/>
        <w:rPr>
          <w:rFonts w:cs="Arial"/>
        </w:rPr>
      </w:pPr>
      <w:r w:rsidRPr="000F78F1">
        <w:rPr>
          <w:rFonts w:eastAsia="Times New Roman" w:cs="Arial"/>
          <w:lang w:eastAsia="en-GB"/>
        </w:rPr>
        <w:t>A review undertaken shows a large forecast under recovery of income on parking and bus lane enforcement. Options to increase pay and display charging in high volume areas continue to be explored, as a previously agreed saving is still to be delivered. The bus lane enforcement income shortfall is due to less people triggering a fine through using bus lanes, as the bus lane restrictions have now been in place for a longer amount of time and awareness has increased. However, this is more than offset by expected over recovery of income from both utility companies and housing developers, which is reporting an increased level of income at Quarter 2 and is one of the main reasons for the improved position. A further underspend is forecast at Quarter 2 (c£0.5m)</w:t>
      </w:r>
      <w:r w:rsidRPr="000F78F1">
        <w:rPr>
          <w:rFonts w:cs="Arial"/>
        </w:rPr>
        <w:t xml:space="preserve"> relating to overhead charges for capital works. These charges are based on the value of work delivered which in 2022/23 are expected to be greater than assumed when the budget was set.</w:t>
      </w:r>
    </w:p>
    <w:p w14:paraId="511943B9" w14:textId="77777777" w:rsidR="000F78F1" w:rsidRPr="000F78F1" w:rsidRDefault="000F78F1" w:rsidP="000F78F1">
      <w:pPr>
        <w:spacing w:after="0"/>
        <w:textAlignment w:val="baseline"/>
        <w:rPr>
          <w:rFonts w:eastAsia="Times New Roman" w:cs="Arial"/>
          <w:lang w:eastAsia="en-GB"/>
        </w:rPr>
      </w:pPr>
    </w:p>
    <w:p w14:paraId="5147F822"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As stated above these income streams are demand led and will be kept under review throughout the year. </w:t>
      </w:r>
      <w:r w:rsidRPr="000F78F1">
        <w:rPr>
          <w:rFonts w:cs="Arial"/>
          <w:shd w:val="clear" w:color="auto" w:fill="FFFFFF"/>
        </w:rPr>
        <w:t xml:space="preserve"> The remainder of the forecast relates to staffing and a combination of the impact of the recently agreed pay offer offset by some underspends particularly relating to school crossing patrols. </w:t>
      </w:r>
      <w:r w:rsidRPr="000F78F1">
        <w:rPr>
          <w:rFonts w:eastAsia="Times New Roman" w:cs="Arial"/>
          <w:lang w:eastAsia="en-GB"/>
        </w:rPr>
        <w:t> </w:t>
      </w:r>
    </w:p>
    <w:p w14:paraId="510707B8" w14:textId="77777777" w:rsidR="000F78F1" w:rsidRPr="000F78F1" w:rsidRDefault="000F78F1" w:rsidP="000F78F1">
      <w:pPr>
        <w:spacing w:after="0"/>
        <w:contextualSpacing/>
        <w:rPr>
          <w:rFonts w:cs="Arial"/>
          <w:bCs/>
        </w:rPr>
      </w:pPr>
    </w:p>
    <w:p w14:paraId="15BFEFBE"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Public and Integrated Transport (PIT) – Forecast underspend £0.577m</w:t>
      </w:r>
      <w:r w:rsidRPr="000F78F1">
        <w:rPr>
          <w:rFonts w:eastAsia="Times New Roman" w:cs="Arial"/>
          <w:lang w:eastAsia="en-GB"/>
        </w:rPr>
        <w:t>  </w:t>
      </w:r>
    </w:p>
    <w:p w14:paraId="7F5D13F3" w14:textId="77777777" w:rsidR="000F78F1" w:rsidRPr="000F78F1" w:rsidRDefault="000F78F1" w:rsidP="000F78F1">
      <w:pPr>
        <w:spacing w:after="0"/>
        <w:textAlignment w:val="baseline"/>
        <w:rPr>
          <w:rFonts w:eastAsia="Times New Roman" w:cs="Arial"/>
          <w:shd w:val="clear" w:color="auto" w:fill="FFFFFF"/>
          <w:lang w:eastAsia="en-GB"/>
        </w:rPr>
      </w:pPr>
      <w:r w:rsidRPr="000F78F1">
        <w:rPr>
          <w:rFonts w:eastAsia="Times New Roman" w:cs="Arial"/>
          <w:shd w:val="clear" w:color="auto" w:fill="FFFFFF"/>
          <w:lang w:eastAsia="en-GB"/>
        </w:rPr>
        <w:t>There are several uncertainties within the service, the most significant being within home to school transport where c£1.800m of reprofiled savings are budgeted to be delivered in 2022/23 and increased fuel costs are expected to impact the cost of taxi and school bus contracts. </w:t>
      </w:r>
      <w:r w:rsidRPr="000F78F1">
        <w:t xml:space="preserve"> </w:t>
      </w:r>
      <w:r w:rsidRPr="000F78F1">
        <w:rPr>
          <w:rFonts w:eastAsia="Times New Roman" w:cs="Arial"/>
          <w:shd w:val="clear" w:color="auto" w:fill="FFFFFF"/>
          <w:lang w:eastAsia="en-GB"/>
        </w:rPr>
        <w:t xml:space="preserve">Increased costs are estimated to be c£2.100m but will be dependent on contract price increases particularly in the new academic year from September 2022.  However, a provision was made at the end of 2021/22 to cover the risk of increasing fuel prices and as such no variance is currently reported.  </w:t>
      </w:r>
    </w:p>
    <w:p w14:paraId="30D35FDE"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3811949A"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A further area of uncertainty is concessionary travel passenger numbers. Throughout the pandemic concessionary passenger numbers fell significantly and have been slower to increase than fare paying passenger numbers.  Based on data from the early part of 2022/23 concessionary passengers are 80%-85% of numbers before the pandemic. In the past 2 years the county council reimbursed operators based on </w:t>
      </w:r>
      <w:r w:rsidRPr="000F78F1">
        <w:rPr>
          <w:rFonts w:eastAsia="Times New Roman" w:cs="Arial"/>
          <w:lang w:eastAsia="en-GB"/>
        </w:rPr>
        <w:lastRenderedPageBreak/>
        <w:t>pre-pandemic passenger numbers.  Government advice has been subject to change in this area, but the latest guidance suggests either continuing to pay at pre-pandemic levels or tapering down support, but that if support is reduced the saving is used to fund additional bus services. The forecast is based on continuing to reimburse operators at pre-pandemic levels for the first 4 months of the financial year dropping to 90% (or on actuals if they grow to more than 90%) for the remainder of the year. The impact of this is a revenue underspend of c£1.500m and a transfer to reserves of c£1.000m to fund future spend on additional bus services.</w:t>
      </w:r>
    </w:p>
    <w:p w14:paraId="157EA054" w14:textId="77777777" w:rsidR="000F78F1" w:rsidRPr="000F78F1" w:rsidRDefault="000F78F1" w:rsidP="000F78F1">
      <w:pPr>
        <w:spacing w:after="0"/>
        <w:textAlignment w:val="baseline"/>
        <w:rPr>
          <w:rFonts w:eastAsia="Times New Roman" w:cs="Arial"/>
          <w:lang w:eastAsia="en-GB"/>
        </w:rPr>
      </w:pPr>
    </w:p>
    <w:p w14:paraId="35D97BD3"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The above underspends are partly offset by forecast overspends on fleet services of c£600,000, predominantly due to reduced income. Other factors impacting the service are a reduction in values of external work expected and an accounting change whereby any receipts for vehicle sales over £10,000 are reported as capital receipts in line with accounting rules whereas previously they were treated as revenue receipts in the Fleet Services budget. The latter is expected to result in overspends of c£200,000 and was adjusted for in the medium-term financial strategy at Quarter 1.  </w:t>
      </w:r>
    </w:p>
    <w:p w14:paraId="7370282A" w14:textId="77777777" w:rsidR="000F78F1" w:rsidRPr="000F78F1" w:rsidRDefault="000F78F1" w:rsidP="000F78F1">
      <w:pPr>
        <w:spacing w:after="0"/>
        <w:textAlignment w:val="baseline"/>
        <w:rPr>
          <w:rFonts w:ascii="Segoe UI" w:eastAsia="Times New Roman" w:hAnsi="Segoe UI" w:cs="Segoe UI"/>
          <w:sz w:val="18"/>
          <w:szCs w:val="18"/>
          <w:lang w:eastAsia="en-GB"/>
        </w:rPr>
      </w:pPr>
    </w:p>
    <w:p w14:paraId="30C1BD48"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Bus stations are expected to overspend by c£400,000 due to departure charges not increasing in 2022/23 (and in previous years), although the impact of this could be mitigated by increases in numbers of departures and will be monitored throughout the year.  </w:t>
      </w:r>
    </w:p>
    <w:p w14:paraId="13874DE6" w14:textId="77777777" w:rsidR="000F78F1" w:rsidRPr="000F78F1" w:rsidRDefault="000F78F1" w:rsidP="000F78F1">
      <w:pPr>
        <w:spacing w:after="0"/>
        <w:textAlignment w:val="baseline"/>
        <w:rPr>
          <w:rFonts w:eastAsia="Times New Roman" w:cs="Arial"/>
          <w:lang w:eastAsia="en-GB"/>
        </w:rPr>
      </w:pPr>
    </w:p>
    <w:p w14:paraId="48C422C2"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Design and Construction (D&amp;C) – Forecast overspend £3.022m</w:t>
      </w:r>
      <w:r w:rsidRPr="000F78F1">
        <w:rPr>
          <w:rFonts w:eastAsia="Times New Roman" w:cs="Arial"/>
          <w:lang w:eastAsia="en-GB"/>
        </w:rPr>
        <w:t>  </w:t>
      </w:r>
    </w:p>
    <w:p w14:paraId="27763AC7" w14:textId="77777777" w:rsidR="000F78F1" w:rsidRPr="000F78F1" w:rsidRDefault="000F78F1" w:rsidP="000F78F1">
      <w:pPr>
        <w:spacing w:after="0"/>
        <w:textAlignment w:val="baseline"/>
        <w:rPr>
          <w:rFonts w:eastAsia="Times New Roman" w:cs="Arial"/>
          <w:color w:val="auto"/>
          <w:lang w:eastAsia="en-GB"/>
        </w:rPr>
      </w:pPr>
      <w:r w:rsidRPr="000F78F1">
        <w:rPr>
          <w:rFonts w:eastAsia="Times New Roman" w:cs="Arial"/>
          <w:shd w:val="clear" w:color="auto" w:fill="FFFFFF"/>
          <w:lang w:eastAsia="en-GB"/>
        </w:rPr>
        <w:t xml:space="preserve">Design and Construction property is forecast to overspend by c£2.7m of which c£790,000 relates to a review of costs previously recharged to the capital programme with the impact of the reduction in recharge being reflected in the updated medium term financial strategy at Quarter 1.  </w:t>
      </w:r>
      <w:r w:rsidRPr="000F78F1">
        <w:rPr>
          <w:rFonts w:cs="Arial"/>
          <w:color w:val="auto"/>
        </w:rPr>
        <w:t xml:space="preserve">The forecast </w:t>
      </w:r>
      <w:proofErr w:type="gramStart"/>
      <w:r w:rsidRPr="000F78F1">
        <w:rPr>
          <w:rFonts w:cs="Arial"/>
          <w:color w:val="auto"/>
        </w:rPr>
        <w:t>overspend</w:t>
      </w:r>
      <w:proofErr w:type="gramEnd"/>
      <w:r w:rsidRPr="000F78F1">
        <w:rPr>
          <w:rFonts w:cs="Arial"/>
          <w:color w:val="auto"/>
        </w:rPr>
        <w:t xml:space="preserve"> in the main relates to less fee income than budgeted being received. This is mainly due to the mix of projects the service </w:t>
      </w:r>
      <w:proofErr w:type="gramStart"/>
      <w:r w:rsidRPr="000F78F1">
        <w:rPr>
          <w:rFonts w:cs="Arial"/>
          <w:color w:val="auto"/>
        </w:rPr>
        <w:t>have</w:t>
      </w:r>
      <w:proofErr w:type="gramEnd"/>
      <w:r w:rsidRPr="000F78F1">
        <w:rPr>
          <w:rFonts w:cs="Arial"/>
          <w:color w:val="auto"/>
        </w:rPr>
        <w:t xml:space="preserve"> been commissioned to deliver and will be kept under review, with the potential for the forecast to improve dependent upon the work received.  </w:t>
      </w:r>
    </w:p>
    <w:p w14:paraId="7DB9B703" w14:textId="77777777" w:rsidR="000F78F1" w:rsidRPr="000F78F1" w:rsidRDefault="000F78F1" w:rsidP="000F78F1">
      <w:pPr>
        <w:spacing w:after="0"/>
        <w:textAlignment w:val="baseline"/>
        <w:rPr>
          <w:rFonts w:eastAsia="Times New Roman" w:cs="Arial"/>
          <w:color w:val="auto"/>
          <w:lang w:eastAsia="en-GB"/>
        </w:rPr>
      </w:pPr>
    </w:p>
    <w:p w14:paraId="58AEDC4F"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Customer Access – Forecast overspend £0.421m</w:t>
      </w:r>
      <w:r w:rsidRPr="000F78F1">
        <w:rPr>
          <w:rFonts w:eastAsia="Times New Roman" w:cs="Arial"/>
          <w:lang w:eastAsia="en-GB"/>
        </w:rPr>
        <w:t>  </w:t>
      </w:r>
    </w:p>
    <w:p w14:paraId="4746A408" w14:textId="77777777" w:rsidR="000F78F1" w:rsidRPr="000F78F1" w:rsidRDefault="000F78F1" w:rsidP="000F78F1">
      <w:pPr>
        <w:spacing w:after="0"/>
        <w:contextualSpacing/>
        <w:rPr>
          <w:rFonts w:cs="Arial"/>
        </w:rPr>
      </w:pPr>
      <w:r w:rsidRPr="000F78F1">
        <w:rPr>
          <w:rFonts w:cs="Arial"/>
        </w:rPr>
        <w:t xml:space="preserve">The forecast overspend is due to the service being unable to make the full staffing reductions required in line with budget reductions. An overspend on staffing has been required </w:t>
      </w:r>
      <w:proofErr w:type="gramStart"/>
      <w:r w:rsidRPr="000F78F1">
        <w:rPr>
          <w:rFonts w:cs="Arial"/>
        </w:rPr>
        <w:t>in order to</w:t>
      </w:r>
      <w:proofErr w:type="gramEnd"/>
      <w:r w:rsidRPr="000F78F1">
        <w:rPr>
          <w:rFonts w:cs="Arial"/>
        </w:rPr>
        <w:t xml:space="preserve"> deliver an acceptable level of service during 2022/23. Technical solutions are being explored </w:t>
      </w:r>
      <w:proofErr w:type="gramStart"/>
      <w:r w:rsidRPr="000F78F1">
        <w:rPr>
          <w:rFonts w:cs="Arial"/>
        </w:rPr>
        <w:t>in order to</w:t>
      </w:r>
      <w:proofErr w:type="gramEnd"/>
      <w:r w:rsidRPr="000F78F1">
        <w:rPr>
          <w:rFonts w:cs="Arial"/>
        </w:rPr>
        <w:t xml:space="preserve"> generate efficiencies and enable the service to be delivered at the lowest possible cost whilst retaining satisfactory service levels for customers. Longer term the service levels themselves may also need to be reviewed.</w:t>
      </w:r>
    </w:p>
    <w:p w14:paraId="7C0F9EDE"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7E4EB44A" w14:textId="77777777" w:rsidR="000F78F1" w:rsidRPr="000F78F1" w:rsidRDefault="000F78F1" w:rsidP="000F78F1">
      <w:pPr>
        <w:spacing w:after="0"/>
        <w:textAlignment w:val="baseline"/>
        <w:rPr>
          <w:rFonts w:eastAsia="Times New Roman" w:cs="Arial"/>
          <w:b/>
          <w:bCs/>
          <w:u w:val="single"/>
          <w:lang w:eastAsia="en-GB"/>
        </w:rPr>
      </w:pPr>
      <w:r w:rsidRPr="000F78F1">
        <w:rPr>
          <w:rFonts w:eastAsia="Times New Roman" w:cs="Arial"/>
          <w:b/>
          <w:bCs/>
          <w:u w:val="single"/>
          <w:lang w:eastAsia="en-GB"/>
        </w:rPr>
        <w:t>Growth and Regeneration – Forecast underspend of £0.245m</w:t>
      </w:r>
    </w:p>
    <w:p w14:paraId="2C676EA6"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An overspend is forecast on Business Growth due to non-delivery of savings </w:t>
      </w:r>
      <w:r w:rsidRPr="000F78F1">
        <w:rPr>
          <w:rFonts w:eastAsia="Times New Roman" w:cs="Arial"/>
          <w:shd w:val="clear" w:color="auto" w:fill="FFFFFF"/>
          <w:lang w:eastAsia="en-GB"/>
        </w:rPr>
        <w:t xml:space="preserve">that were targeting generating additional income from the LCDL business parks and securing increased contributions from unitary and district council partners. These savings are £700,000 in 2022/23 and the forecast shows that efforts are being made to mitigate some of the non-delivery of savings with action taken across other areas of the service to reduce expenditure to ensure a breakeven position is achieved. </w:t>
      </w:r>
    </w:p>
    <w:p w14:paraId="170CA236"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5AB7A52B" w14:textId="77777777" w:rsidR="000F78F1" w:rsidRPr="000F78F1" w:rsidRDefault="000F78F1" w:rsidP="000F78F1">
      <w:pPr>
        <w:spacing w:after="0"/>
        <w:textAlignment w:val="baseline"/>
        <w:rPr>
          <w:rFonts w:ascii="Segoe UI" w:eastAsia="Times New Roman" w:hAnsi="Segoe UI" w:cs="Segoe UI"/>
          <w:b/>
          <w:bCs/>
          <w:sz w:val="18"/>
          <w:szCs w:val="18"/>
          <w:u w:val="single"/>
          <w:lang w:eastAsia="en-GB"/>
        </w:rPr>
      </w:pPr>
      <w:r w:rsidRPr="000F78F1">
        <w:rPr>
          <w:rFonts w:eastAsia="Times New Roman" w:cs="Arial"/>
          <w:b/>
          <w:bCs/>
          <w:u w:val="single"/>
          <w:lang w:eastAsia="en-GB"/>
        </w:rPr>
        <w:lastRenderedPageBreak/>
        <w:t>Environment and Planning – Forecast underspend of £0.169m</w:t>
      </w:r>
    </w:p>
    <w:p w14:paraId="52483B43" w14:textId="42A9EA91" w:rsidR="000F78F1" w:rsidRDefault="000F78F1" w:rsidP="000F78F1">
      <w:pPr>
        <w:spacing w:after="0"/>
        <w:textAlignment w:val="baseline"/>
        <w:rPr>
          <w:rFonts w:eastAsia="Times New Roman" w:cs="Arial"/>
          <w:lang w:eastAsia="en-GB"/>
        </w:rPr>
      </w:pPr>
      <w:r w:rsidRPr="000F78F1">
        <w:rPr>
          <w:rFonts w:eastAsia="Times New Roman" w:cs="Arial"/>
          <w:lang w:eastAsia="en-GB"/>
        </w:rPr>
        <w:t>The forecast underspend relates to staffing costs.</w:t>
      </w:r>
    </w:p>
    <w:p w14:paraId="0B989BC3" w14:textId="789C4E92" w:rsidR="000F78F1" w:rsidRDefault="000F78F1" w:rsidP="000F78F1">
      <w:pPr>
        <w:spacing w:after="0"/>
        <w:textAlignment w:val="baseline"/>
        <w:rPr>
          <w:rFonts w:eastAsia="Times New Roman" w:cs="Arial"/>
          <w:lang w:eastAsia="en-GB"/>
        </w:rPr>
      </w:pPr>
    </w:p>
    <w:p w14:paraId="1F7F22DD" w14:textId="341CF2B3" w:rsidR="000F78F1" w:rsidRDefault="000F78F1" w:rsidP="000F78F1">
      <w:pPr>
        <w:spacing w:after="0"/>
        <w:textAlignment w:val="baseline"/>
        <w:rPr>
          <w:rFonts w:eastAsia="Times New Roman" w:cs="Arial"/>
          <w:lang w:eastAsia="en-GB"/>
        </w:rPr>
      </w:pPr>
    </w:p>
    <w:p w14:paraId="559795E4" w14:textId="061A8B4E" w:rsidR="000F78F1" w:rsidRDefault="000F78F1" w:rsidP="000F78F1">
      <w:pPr>
        <w:spacing w:after="0"/>
        <w:textAlignment w:val="baseline"/>
        <w:rPr>
          <w:rFonts w:eastAsia="Times New Roman" w:cs="Arial"/>
          <w:lang w:eastAsia="en-GB"/>
        </w:rPr>
      </w:pPr>
    </w:p>
    <w:p w14:paraId="435EDC25" w14:textId="5422479E" w:rsidR="000F78F1" w:rsidRDefault="000F78F1" w:rsidP="000F78F1">
      <w:pPr>
        <w:spacing w:after="0"/>
        <w:textAlignment w:val="baseline"/>
        <w:rPr>
          <w:rFonts w:eastAsia="Times New Roman" w:cs="Arial"/>
          <w:lang w:eastAsia="en-GB"/>
        </w:rPr>
      </w:pPr>
    </w:p>
    <w:p w14:paraId="42224AAB" w14:textId="4843DA50" w:rsidR="000F78F1" w:rsidRDefault="000F78F1" w:rsidP="000F78F1">
      <w:pPr>
        <w:spacing w:after="0"/>
        <w:textAlignment w:val="baseline"/>
        <w:rPr>
          <w:rFonts w:eastAsia="Times New Roman" w:cs="Arial"/>
          <w:lang w:eastAsia="en-GB"/>
        </w:rPr>
      </w:pPr>
    </w:p>
    <w:p w14:paraId="6E1B053A" w14:textId="2475660D" w:rsidR="000F78F1" w:rsidRDefault="000F78F1" w:rsidP="000F78F1">
      <w:pPr>
        <w:spacing w:after="0"/>
        <w:textAlignment w:val="baseline"/>
        <w:rPr>
          <w:rFonts w:eastAsia="Times New Roman" w:cs="Arial"/>
          <w:lang w:eastAsia="en-GB"/>
        </w:rPr>
      </w:pPr>
    </w:p>
    <w:p w14:paraId="46D8B519" w14:textId="16CD5B09" w:rsidR="000F78F1" w:rsidRDefault="000F78F1" w:rsidP="000F78F1">
      <w:pPr>
        <w:spacing w:after="0"/>
        <w:textAlignment w:val="baseline"/>
        <w:rPr>
          <w:rFonts w:eastAsia="Times New Roman" w:cs="Arial"/>
          <w:lang w:eastAsia="en-GB"/>
        </w:rPr>
      </w:pPr>
    </w:p>
    <w:p w14:paraId="5F2A20C4" w14:textId="4712FBEA" w:rsidR="000F78F1" w:rsidRDefault="000F78F1" w:rsidP="000F78F1">
      <w:pPr>
        <w:spacing w:after="0"/>
        <w:textAlignment w:val="baseline"/>
        <w:rPr>
          <w:rFonts w:eastAsia="Times New Roman" w:cs="Arial"/>
          <w:lang w:eastAsia="en-GB"/>
        </w:rPr>
      </w:pPr>
    </w:p>
    <w:p w14:paraId="3E572C6E" w14:textId="45DAF720" w:rsidR="000F78F1" w:rsidRDefault="000F78F1" w:rsidP="000F78F1">
      <w:pPr>
        <w:spacing w:after="0"/>
        <w:textAlignment w:val="baseline"/>
        <w:rPr>
          <w:rFonts w:eastAsia="Times New Roman" w:cs="Arial"/>
          <w:lang w:eastAsia="en-GB"/>
        </w:rPr>
      </w:pPr>
    </w:p>
    <w:p w14:paraId="7C475B5E" w14:textId="3CC487E1" w:rsidR="000F78F1" w:rsidRDefault="000F78F1" w:rsidP="000F78F1">
      <w:pPr>
        <w:spacing w:after="0"/>
        <w:textAlignment w:val="baseline"/>
        <w:rPr>
          <w:rFonts w:eastAsia="Times New Roman" w:cs="Arial"/>
          <w:lang w:eastAsia="en-GB"/>
        </w:rPr>
      </w:pPr>
    </w:p>
    <w:p w14:paraId="5A9D8F8A" w14:textId="7DB26735" w:rsidR="000F78F1" w:rsidRDefault="000F78F1" w:rsidP="000F78F1">
      <w:pPr>
        <w:spacing w:after="0"/>
        <w:textAlignment w:val="baseline"/>
        <w:rPr>
          <w:rFonts w:eastAsia="Times New Roman" w:cs="Arial"/>
          <w:lang w:eastAsia="en-GB"/>
        </w:rPr>
      </w:pPr>
    </w:p>
    <w:p w14:paraId="402E4D52" w14:textId="53CE92D1" w:rsidR="000F78F1" w:rsidRDefault="000F78F1" w:rsidP="000F78F1">
      <w:pPr>
        <w:spacing w:after="0"/>
        <w:textAlignment w:val="baseline"/>
        <w:rPr>
          <w:rFonts w:eastAsia="Times New Roman" w:cs="Arial"/>
          <w:lang w:eastAsia="en-GB"/>
        </w:rPr>
      </w:pPr>
    </w:p>
    <w:p w14:paraId="36E33CE2" w14:textId="247C2BB1" w:rsidR="000F78F1" w:rsidRDefault="000F78F1" w:rsidP="000F78F1">
      <w:pPr>
        <w:spacing w:after="0"/>
        <w:textAlignment w:val="baseline"/>
        <w:rPr>
          <w:rFonts w:eastAsia="Times New Roman" w:cs="Arial"/>
          <w:lang w:eastAsia="en-GB"/>
        </w:rPr>
      </w:pPr>
    </w:p>
    <w:p w14:paraId="4AA4FBC5" w14:textId="18FC3E2E" w:rsidR="000F78F1" w:rsidRDefault="000F78F1" w:rsidP="000F78F1">
      <w:pPr>
        <w:spacing w:after="0"/>
        <w:textAlignment w:val="baseline"/>
        <w:rPr>
          <w:rFonts w:eastAsia="Times New Roman" w:cs="Arial"/>
          <w:lang w:eastAsia="en-GB"/>
        </w:rPr>
      </w:pPr>
    </w:p>
    <w:p w14:paraId="1FEA3B90" w14:textId="0BC0221A" w:rsidR="000F78F1" w:rsidRDefault="000F78F1" w:rsidP="000F78F1">
      <w:pPr>
        <w:spacing w:after="0"/>
        <w:textAlignment w:val="baseline"/>
        <w:rPr>
          <w:rFonts w:eastAsia="Times New Roman" w:cs="Arial"/>
          <w:lang w:eastAsia="en-GB"/>
        </w:rPr>
      </w:pPr>
    </w:p>
    <w:p w14:paraId="64E8EC66" w14:textId="76171891" w:rsidR="000F78F1" w:rsidRDefault="000F78F1" w:rsidP="000F78F1">
      <w:pPr>
        <w:spacing w:after="0"/>
        <w:textAlignment w:val="baseline"/>
        <w:rPr>
          <w:rFonts w:eastAsia="Times New Roman" w:cs="Arial"/>
          <w:lang w:eastAsia="en-GB"/>
        </w:rPr>
      </w:pPr>
    </w:p>
    <w:p w14:paraId="6F166457" w14:textId="3544C46C" w:rsidR="000F78F1" w:rsidRDefault="000F78F1" w:rsidP="000F78F1">
      <w:pPr>
        <w:spacing w:after="0"/>
        <w:textAlignment w:val="baseline"/>
        <w:rPr>
          <w:rFonts w:eastAsia="Times New Roman" w:cs="Arial"/>
          <w:lang w:eastAsia="en-GB"/>
        </w:rPr>
      </w:pPr>
    </w:p>
    <w:p w14:paraId="2A3023E6" w14:textId="3F5500D8" w:rsidR="000F78F1" w:rsidRDefault="000F78F1" w:rsidP="000F78F1">
      <w:pPr>
        <w:spacing w:after="0"/>
        <w:textAlignment w:val="baseline"/>
        <w:rPr>
          <w:rFonts w:eastAsia="Times New Roman" w:cs="Arial"/>
          <w:lang w:eastAsia="en-GB"/>
        </w:rPr>
      </w:pPr>
    </w:p>
    <w:p w14:paraId="3B0E243A" w14:textId="42AB16CD" w:rsidR="000F78F1" w:rsidRDefault="000F78F1" w:rsidP="000F78F1">
      <w:pPr>
        <w:spacing w:after="0"/>
        <w:textAlignment w:val="baseline"/>
        <w:rPr>
          <w:rFonts w:eastAsia="Times New Roman" w:cs="Arial"/>
          <w:lang w:eastAsia="en-GB"/>
        </w:rPr>
      </w:pPr>
    </w:p>
    <w:p w14:paraId="3896994E" w14:textId="4F92257E" w:rsidR="000F78F1" w:rsidRDefault="000F78F1" w:rsidP="000F78F1">
      <w:pPr>
        <w:spacing w:after="0"/>
        <w:textAlignment w:val="baseline"/>
        <w:rPr>
          <w:rFonts w:eastAsia="Times New Roman" w:cs="Arial"/>
          <w:lang w:eastAsia="en-GB"/>
        </w:rPr>
      </w:pPr>
    </w:p>
    <w:p w14:paraId="34B5444A" w14:textId="1C2BC2BE" w:rsidR="000F78F1" w:rsidRDefault="000F78F1" w:rsidP="000F78F1">
      <w:pPr>
        <w:spacing w:after="0"/>
        <w:textAlignment w:val="baseline"/>
        <w:rPr>
          <w:rFonts w:eastAsia="Times New Roman" w:cs="Arial"/>
          <w:lang w:eastAsia="en-GB"/>
        </w:rPr>
      </w:pPr>
    </w:p>
    <w:p w14:paraId="55DABE7A" w14:textId="306ABCFD" w:rsidR="000F78F1" w:rsidRDefault="000F78F1" w:rsidP="000F78F1">
      <w:pPr>
        <w:spacing w:after="0"/>
        <w:textAlignment w:val="baseline"/>
        <w:rPr>
          <w:rFonts w:eastAsia="Times New Roman" w:cs="Arial"/>
          <w:lang w:eastAsia="en-GB"/>
        </w:rPr>
      </w:pPr>
    </w:p>
    <w:p w14:paraId="09E0F348" w14:textId="71D97D4C" w:rsidR="000F78F1" w:rsidRDefault="000F78F1" w:rsidP="000F78F1">
      <w:pPr>
        <w:spacing w:after="0"/>
        <w:textAlignment w:val="baseline"/>
        <w:rPr>
          <w:rFonts w:eastAsia="Times New Roman" w:cs="Arial"/>
          <w:lang w:eastAsia="en-GB"/>
        </w:rPr>
      </w:pPr>
    </w:p>
    <w:p w14:paraId="3FA8BA3B" w14:textId="40447344" w:rsidR="000F78F1" w:rsidRDefault="000F78F1" w:rsidP="000F78F1">
      <w:pPr>
        <w:spacing w:after="0"/>
        <w:textAlignment w:val="baseline"/>
        <w:rPr>
          <w:rFonts w:eastAsia="Times New Roman" w:cs="Arial"/>
          <w:lang w:eastAsia="en-GB"/>
        </w:rPr>
      </w:pPr>
    </w:p>
    <w:p w14:paraId="1D06E148" w14:textId="292EB5E6" w:rsidR="000F78F1" w:rsidRDefault="000F78F1" w:rsidP="000F78F1">
      <w:pPr>
        <w:spacing w:after="0"/>
        <w:textAlignment w:val="baseline"/>
        <w:rPr>
          <w:rFonts w:eastAsia="Times New Roman" w:cs="Arial"/>
          <w:lang w:eastAsia="en-GB"/>
        </w:rPr>
      </w:pPr>
    </w:p>
    <w:p w14:paraId="0004F9AC" w14:textId="71852A85" w:rsidR="000F78F1" w:rsidRDefault="000F78F1" w:rsidP="000F78F1">
      <w:pPr>
        <w:spacing w:after="0"/>
        <w:textAlignment w:val="baseline"/>
        <w:rPr>
          <w:rFonts w:eastAsia="Times New Roman" w:cs="Arial"/>
          <w:lang w:eastAsia="en-GB"/>
        </w:rPr>
      </w:pPr>
    </w:p>
    <w:p w14:paraId="1CBD1E77" w14:textId="2F1B691D" w:rsidR="000F78F1" w:rsidRDefault="000F78F1" w:rsidP="000F78F1">
      <w:pPr>
        <w:spacing w:after="0"/>
        <w:textAlignment w:val="baseline"/>
        <w:rPr>
          <w:rFonts w:eastAsia="Times New Roman" w:cs="Arial"/>
          <w:lang w:eastAsia="en-GB"/>
        </w:rPr>
      </w:pPr>
    </w:p>
    <w:p w14:paraId="499C4EC2" w14:textId="7355E927" w:rsidR="000F78F1" w:rsidRDefault="000F78F1" w:rsidP="000F78F1">
      <w:pPr>
        <w:spacing w:after="0"/>
        <w:textAlignment w:val="baseline"/>
        <w:rPr>
          <w:rFonts w:eastAsia="Times New Roman" w:cs="Arial"/>
          <w:lang w:eastAsia="en-GB"/>
        </w:rPr>
      </w:pPr>
    </w:p>
    <w:p w14:paraId="41DE84A3" w14:textId="7AAF4A1F" w:rsidR="000F78F1" w:rsidRDefault="000F78F1" w:rsidP="000F78F1">
      <w:pPr>
        <w:spacing w:after="0"/>
        <w:textAlignment w:val="baseline"/>
        <w:rPr>
          <w:rFonts w:eastAsia="Times New Roman" w:cs="Arial"/>
          <w:lang w:eastAsia="en-GB"/>
        </w:rPr>
      </w:pPr>
    </w:p>
    <w:p w14:paraId="31BB7D20" w14:textId="32E406D6" w:rsidR="000F78F1" w:rsidRDefault="000F78F1" w:rsidP="000F78F1">
      <w:pPr>
        <w:spacing w:after="0"/>
        <w:textAlignment w:val="baseline"/>
        <w:rPr>
          <w:rFonts w:eastAsia="Times New Roman" w:cs="Arial"/>
          <w:lang w:eastAsia="en-GB"/>
        </w:rPr>
      </w:pPr>
    </w:p>
    <w:p w14:paraId="70E70A98" w14:textId="14E33AB4" w:rsidR="000F78F1" w:rsidRDefault="000F78F1" w:rsidP="000F78F1">
      <w:pPr>
        <w:spacing w:after="0"/>
        <w:textAlignment w:val="baseline"/>
        <w:rPr>
          <w:rFonts w:eastAsia="Times New Roman" w:cs="Arial"/>
          <w:lang w:eastAsia="en-GB"/>
        </w:rPr>
      </w:pPr>
    </w:p>
    <w:p w14:paraId="6C4FB679" w14:textId="08760EF9" w:rsidR="000F78F1" w:rsidRDefault="000F78F1" w:rsidP="000F78F1">
      <w:pPr>
        <w:spacing w:after="0"/>
        <w:textAlignment w:val="baseline"/>
        <w:rPr>
          <w:rFonts w:eastAsia="Times New Roman" w:cs="Arial"/>
          <w:lang w:eastAsia="en-GB"/>
        </w:rPr>
      </w:pPr>
    </w:p>
    <w:p w14:paraId="34290E65" w14:textId="0F52360C" w:rsidR="000F78F1" w:rsidRDefault="000F78F1" w:rsidP="000F78F1">
      <w:pPr>
        <w:spacing w:after="0"/>
        <w:textAlignment w:val="baseline"/>
        <w:rPr>
          <w:rFonts w:eastAsia="Times New Roman" w:cs="Arial"/>
          <w:lang w:eastAsia="en-GB"/>
        </w:rPr>
      </w:pPr>
    </w:p>
    <w:p w14:paraId="5FF014FE" w14:textId="676208DA" w:rsidR="000F78F1" w:rsidRDefault="000F78F1" w:rsidP="000F78F1">
      <w:pPr>
        <w:spacing w:after="0"/>
        <w:textAlignment w:val="baseline"/>
        <w:rPr>
          <w:rFonts w:eastAsia="Times New Roman" w:cs="Arial"/>
          <w:lang w:eastAsia="en-GB"/>
        </w:rPr>
      </w:pPr>
    </w:p>
    <w:p w14:paraId="36FA7EDE" w14:textId="699DF508" w:rsidR="000F78F1" w:rsidRDefault="000F78F1" w:rsidP="000F78F1">
      <w:pPr>
        <w:spacing w:after="0"/>
        <w:textAlignment w:val="baseline"/>
        <w:rPr>
          <w:rFonts w:eastAsia="Times New Roman" w:cs="Arial"/>
          <w:lang w:eastAsia="en-GB"/>
        </w:rPr>
      </w:pPr>
    </w:p>
    <w:p w14:paraId="6BCE2C04" w14:textId="68D209FD" w:rsidR="000F78F1" w:rsidRDefault="000F78F1" w:rsidP="000F78F1">
      <w:pPr>
        <w:spacing w:after="0"/>
        <w:textAlignment w:val="baseline"/>
        <w:rPr>
          <w:rFonts w:eastAsia="Times New Roman" w:cs="Arial"/>
          <w:lang w:eastAsia="en-GB"/>
        </w:rPr>
      </w:pPr>
    </w:p>
    <w:p w14:paraId="5CD6157C" w14:textId="441EA9D2" w:rsidR="000F78F1" w:rsidRDefault="000F78F1" w:rsidP="000F78F1">
      <w:pPr>
        <w:spacing w:after="0"/>
        <w:textAlignment w:val="baseline"/>
        <w:rPr>
          <w:rFonts w:eastAsia="Times New Roman" w:cs="Arial"/>
          <w:lang w:eastAsia="en-GB"/>
        </w:rPr>
      </w:pPr>
    </w:p>
    <w:p w14:paraId="6765B82D" w14:textId="7C9AFA14" w:rsidR="000F78F1" w:rsidRDefault="000F78F1" w:rsidP="000F78F1">
      <w:pPr>
        <w:spacing w:after="0"/>
        <w:textAlignment w:val="baseline"/>
        <w:rPr>
          <w:rFonts w:eastAsia="Times New Roman" w:cs="Arial"/>
          <w:lang w:eastAsia="en-GB"/>
        </w:rPr>
      </w:pPr>
    </w:p>
    <w:p w14:paraId="6078DEF4" w14:textId="2205E156" w:rsidR="000F78F1" w:rsidRDefault="000F78F1" w:rsidP="000F78F1">
      <w:pPr>
        <w:spacing w:after="0"/>
        <w:textAlignment w:val="baseline"/>
        <w:rPr>
          <w:rFonts w:eastAsia="Times New Roman" w:cs="Arial"/>
          <w:lang w:eastAsia="en-GB"/>
        </w:rPr>
      </w:pPr>
    </w:p>
    <w:p w14:paraId="56A2585D" w14:textId="45E40AC4" w:rsidR="000F78F1" w:rsidRDefault="000F78F1" w:rsidP="000F78F1">
      <w:pPr>
        <w:spacing w:after="0"/>
        <w:textAlignment w:val="baseline"/>
        <w:rPr>
          <w:rFonts w:eastAsia="Times New Roman" w:cs="Arial"/>
          <w:lang w:eastAsia="en-GB"/>
        </w:rPr>
      </w:pPr>
    </w:p>
    <w:p w14:paraId="587DD8F1" w14:textId="157B5537" w:rsidR="000F78F1" w:rsidRDefault="000F78F1" w:rsidP="000F78F1">
      <w:pPr>
        <w:spacing w:after="0"/>
        <w:textAlignment w:val="baseline"/>
        <w:rPr>
          <w:rFonts w:eastAsia="Times New Roman" w:cs="Arial"/>
          <w:lang w:eastAsia="en-GB"/>
        </w:rPr>
      </w:pPr>
    </w:p>
    <w:p w14:paraId="3780E138" w14:textId="0C4577D5" w:rsidR="000F78F1" w:rsidRDefault="000F78F1" w:rsidP="000F78F1">
      <w:pPr>
        <w:spacing w:after="0"/>
        <w:textAlignment w:val="baseline"/>
        <w:rPr>
          <w:rFonts w:eastAsia="Times New Roman" w:cs="Arial"/>
          <w:lang w:eastAsia="en-GB"/>
        </w:rPr>
      </w:pPr>
    </w:p>
    <w:p w14:paraId="6012EEE8" w14:textId="63039DDA" w:rsidR="000F78F1" w:rsidRDefault="000F78F1" w:rsidP="000F78F1">
      <w:pPr>
        <w:spacing w:after="0"/>
        <w:textAlignment w:val="baseline"/>
        <w:rPr>
          <w:rFonts w:eastAsia="Times New Roman" w:cs="Arial"/>
          <w:lang w:eastAsia="en-GB"/>
        </w:rPr>
      </w:pPr>
    </w:p>
    <w:p w14:paraId="1CCBAE2E" w14:textId="716B70C3" w:rsidR="000F78F1" w:rsidRDefault="000F78F1" w:rsidP="000F78F1">
      <w:pPr>
        <w:spacing w:after="0"/>
        <w:textAlignment w:val="baseline"/>
        <w:rPr>
          <w:rFonts w:eastAsia="Times New Roman" w:cs="Arial"/>
          <w:lang w:eastAsia="en-GB"/>
        </w:rPr>
      </w:pPr>
    </w:p>
    <w:p w14:paraId="41D1CC58" w14:textId="463C6328" w:rsidR="000F78F1" w:rsidRDefault="000F78F1" w:rsidP="000F78F1">
      <w:pPr>
        <w:spacing w:after="0"/>
        <w:textAlignment w:val="baseline"/>
        <w:rPr>
          <w:rFonts w:eastAsia="Times New Roman" w:cs="Arial"/>
          <w:lang w:eastAsia="en-GB"/>
        </w:rPr>
      </w:pPr>
    </w:p>
    <w:p w14:paraId="15B4C75B" w14:textId="031EFAC3" w:rsidR="000F78F1" w:rsidRDefault="000F78F1" w:rsidP="000F78F1">
      <w:pPr>
        <w:spacing w:after="0"/>
        <w:textAlignment w:val="baseline"/>
        <w:rPr>
          <w:rFonts w:eastAsia="Times New Roman" w:cs="Arial"/>
          <w:lang w:eastAsia="en-GB"/>
        </w:rPr>
      </w:pPr>
    </w:p>
    <w:p w14:paraId="4C5D473C" w14:textId="3B65D24D" w:rsidR="000F78F1" w:rsidRDefault="000F78F1" w:rsidP="000F78F1">
      <w:pPr>
        <w:spacing w:after="0"/>
        <w:textAlignment w:val="baseline"/>
        <w:rPr>
          <w:rFonts w:eastAsia="Times New Roman" w:cs="Arial"/>
          <w:lang w:eastAsia="en-GB"/>
        </w:rPr>
      </w:pPr>
    </w:p>
    <w:p w14:paraId="4C41B3F5" w14:textId="77777777" w:rsidR="000F78F1" w:rsidRPr="000F78F1" w:rsidRDefault="000F78F1" w:rsidP="000F78F1">
      <w:pPr>
        <w:spacing w:after="0"/>
        <w:textAlignment w:val="baseline"/>
        <w:rPr>
          <w:rFonts w:ascii="Segoe UI" w:eastAsia="Times New Roman" w:hAnsi="Segoe UI" w:cs="Segoe UI"/>
          <w:sz w:val="18"/>
          <w:szCs w:val="18"/>
          <w:lang w:eastAsia="en-GB"/>
        </w:rPr>
      </w:pPr>
    </w:p>
    <w:p w14:paraId="38164E9C" w14:textId="77777777" w:rsidR="000F78F1" w:rsidRPr="000F78F1" w:rsidRDefault="000F78F1" w:rsidP="000F78F1">
      <w:pPr>
        <w:numPr>
          <w:ilvl w:val="0"/>
          <w:numId w:val="5"/>
        </w:numPr>
        <w:autoSpaceDE/>
        <w:autoSpaceDN/>
        <w:adjustRightInd/>
        <w:spacing w:after="0"/>
        <w:textAlignment w:val="baseline"/>
        <w:rPr>
          <w:rFonts w:eastAsia="Times New Roman" w:cs="Arial"/>
          <w:b/>
          <w:bCs/>
          <w:color w:val="auto"/>
          <w:u w:val="single"/>
          <w:lang w:eastAsia="en-GB"/>
        </w:rPr>
      </w:pPr>
      <w:bookmarkStart w:id="12" w:name="_Hlk118903609"/>
      <w:r w:rsidRPr="000F78F1">
        <w:rPr>
          <w:rFonts w:eastAsia="Times New Roman" w:cs="Arial"/>
          <w:b/>
          <w:bCs/>
          <w:color w:val="auto"/>
          <w:u w:val="single"/>
          <w:lang w:eastAsia="en-GB"/>
        </w:rPr>
        <w:lastRenderedPageBreak/>
        <w:t xml:space="preserve">Resources Directorate </w:t>
      </w:r>
    </w:p>
    <w:p w14:paraId="4AD28545" w14:textId="77777777" w:rsidR="000F78F1" w:rsidRPr="000F78F1" w:rsidRDefault="000F78F1" w:rsidP="000F78F1">
      <w:pPr>
        <w:autoSpaceDE/>
        <w:autoSpaceDN/>
        <w:adjustRightInd/>
        <w:spacing w:after="0"/>
        <w:textAlignment w:val="baseline"/>
        <w:rPr>
          <w:rFonts w:eastAsia="Times New Roman" w:cs="Arial"/>
          <w:b/>
          <w:bCs/>
          <w:color w:val="auto"/>
          <w:highlight w:val="yellow"/>
          <w:u w:val="single"/>
          <w:lang w:eastAsia="en-GB"/>
        </w:rPr>
      </w:pPr>
    </w:p>
    <w:tbl>
      <w:tblPr>
        <w:tblW w:w="9680" w:type="dxa"/>
        <w:tblInd w:w="-176" w:type="dxa"/>
        <w:tblLook w:val="04A0" w:firstRow="1" w:lastRow="0" w:firstColumn="1" w:lastColumn="0" w:noHBand="0" w:noVBand="1"/>
      </w:tblPr>
      <w:tblGrid>
        <w:gridCol w:w="3889"/>
        <w:gridCol w:w="1340"/>
        <w:gridCol w:w="1052"/>
        <w:gridCol w:w="1085"/>
        <w:gridCol w:w="1050"/>
        <w:gridCol w:w="1264"/>
      </w:tblGrid>
      <w:tr w:rsidR="000F78F1" w:rsidRPr="000F78F1" w14:paraId="391F22B0" w14:textId="77777777" w:rsidTr="00C11DAC">
        <w:trPr>
          <w:trHeight w:val="694"/>
        </w:trPr>
        <w:tc>
          <w:tcPr>
            <w:tcW w:w="39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4F96A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1343" w:type="dxa"/>
            <w:tcBorders>
              <w:top w:val="single" w:sz="4" w:space="0" w:color="auto"/>
              <w:left w:val="nil"/>
              <w:bottom w:val="single" w:sz="4" w:space="0" w:color="auto"/>
              <w:right w:val="single" w:sz="4" w:space="0" w:color="auto"/>
            </w:tcBorders>
            <w:shd w:val="clear" w:color="000000" w:fill="D9D9D9"/>
            <w:vAlign w:val="center"/>
            <w:hideMark/>
          </w:tcPr>
          <w:p w14:paraId="4D53AF2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052" w:type="dxa"/>
            <w:tcBorders>
              <w:top w:val="single" w:sz="4" w:space="0" w:color="auto"/>
              <w:left w:val="nil"/>
              <w:bottom w:val="single" w:sz="4" w:space="0" w:color="auto"/>
              <w:right w:val="single" w:sz="4" w:space="0" w:color="auto"/>
            </w:tcBorders>
            <w:shd w:val="clear" w:color="000000" w:fill="D9D9D9"/>
            <w:vAlign w:val="center"/>
            <w:hideMark/>
          </w:tcPr>
          <w:p w14:paraId="1E7267BF"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2602CD4D"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14:paraId="548ABE5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265" w:type="dxa"/>
            <w:tcBorders>
              <w:top w:val="single" w:sz="4" w:space="0" w:color="auto"/>
              <w:left w:val="nil"/>
              <w:bottom w:val="single" w:sz="4" w:space="0" w:color="auto"/>
              <w:right w:val="single" w:sz="4" w:space="0" w:color="auto"/>
            </w:tcBorders>
            <w:shd w:val="clear" w:color="000000" w:fill="D9D9D9"/>
            <w:vAlign w:val="center"/>
            <w:hideMark/>
          </w:tcPr>
          <w:p w14:paraId="69B3FDDE"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52D1E0F3"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A828922"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1343" w:type="dxa"/>
            <w:tcBorders>
              <w:top w:val="nil"/>
              <w:left w:val="nil"/>
              <w:bottom w:val="single" w:sz="4" w:space="0" w:color="auto"/>
              <w:right w:val="single" w:sz="4" w:space="0" w:color="auto"/>
            </w:tcBorders>
            <w:shd w:val="clear" w:color="000000" w:fill="D9D9D9"/>
            <w:vAlign w:val="center"/>
            <w:hideMark/>
          </w:tcPr>
          <w:p w14:paraId="7CD3DD53"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2" w:type="dxa"/>
            <w:tcBorders>
              <w:top w:val="nil"/>
              <w:left w:val="nil"/>
              <w:bottom w:val="single" w:sz="4" w:space="0" w:color="auto"/>
              <w:right w:val="single" w:sz="4" w:space="0" w:color="auto"/>
            </w:tcBorders>
            <w:shd w:val="clear" w:color="000000" w:fill="D9D9D9"/>
            <w:vAlign w:val="center"/>
            <w:hideMark/>
          </w:tcPr>
          <w:p w14:paraId="66DEC2A5"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0ADE19C6"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14:paraId="058F6EA4"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265" w:type="dxa"/>
            <w:tcBorders>
              <w:top w:val="nil"/>
              <w:left w:val="nil"/>
              <w:bottom w:val="single" w:sz="4" w:space="0" w:color="auto"/>
              <w:right w:val="single" w:sz="4" w:space="0" w:color="auto"/>
            </w:tcBorders>
            <w:shd w:val="clear" w:color="000000" w:fill="D9D9D9"/>
            <w:vAlign w:val="center"/>
            <w:hideMark/>
          </w:tcPr>
          <w:p w14:paraId="6A943569"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3FA36ADA"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58AFA20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Lancashire Pension Fund</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64E7683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C94F97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-0.006</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1A341A8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5BE9CED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-50.00%</w:t>
            </w:r>
          </w:p>
        </w:tc>
        <w:tc>
          <w:tcPr>
            <w:tcW w:w="1265" w:type="dxa"/>
            <w:tcBorders>
              <w:top w:val="single" w:sz="4" w:space="0" w:color="auto"/>
              <w:left w:val="nil"/>
              <w:bottom w:val="single" w:sz="4" w:space="0" w:color="auto"/>
              <w:right w:val="single" w:sz="4" w:space="0" w:color="auto"/>
            </w:tcBorders>
            <w:shd w:val="clear" w:color="000000" w:fill="D9D9D9"/>
            <w:vAlign w:val="center"/>
            <w:hideMark/>
          </w:tcPr>
          <w:p w14:paraId="33B19B66"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1C29D8FE"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B46FC0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Exchequer Services</w:t>
            </w:r>
          </w:p>
        </w:tc>
        <w:tc>
          <w:tcPr>
            <w:tcW w:w="1343" w:type="dxa"/>
            <w:tcBorders>
              <w:top w:val="nil"/>
              <w:left w:val="nil"/>
              <w:bottom w:val="single" w:sz="4" w:space="0" w:color="auto"/>
              <w:right w:val="single" w:sz="4" w:space="0" w:color="auto"/>
            </w:tcBorders>
            <w:shd w:val="clear" w:color="auto" w:fill="auto"/>
            <w:vAlign w:val="center"/>
            <w:hideMark/>
          </w:tcPr>
          <w:p w14:paraId="6D3F28F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4.062</w:t>
            </w:r>
          </w:p>
        </w:tc>
        <w:tc>
          <w:tcPr>
            <w:tcW w:w="1052" w:type="dxa"/>
            <w:tcBorders>
              <w:top w:val="nil"/>
              <w:left w:val="nil"/>
              <w:bottom w:val="single" w:sz="4" w:space="0" w:color="auto"/>
              <w:right w:val="single" w:sz="4" w:space="0" w:color="auto"/>
            </w:tcBorders>
            <w:shd w:val="clear" w:color="auto" w:fill="auto"/>
            <w:vAlign w:val="center"/>
            <w:hideMark/>
          </w:tcPr>
          <w:p w14:paraId="2B12EA1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3.911</w:t>
            </w:r>
          </w:p>
        </w:tc>
        <w:tc>
          <w:tcPr>
            <w:tcW w:w="1085" w:type="dxa"/>
            <w:tcBorders>
              <w:top w:val="nil"/>
              <w:left w:val="nil"/>
              <w:bottom w:val="single" w:sz="4" w:space="0" w:color="auto"/>
              <w:right w:val="single" w:sz="4" w:space="0" w:color="auto"/>
            </w:tcBorders>
            <w:shd w:val="clear" w:color="000000" w:fill="D9D9D9"/>
            <w:vAlign w:val="center"/>
            <w:hideMark/>
          </w:tcPr>
          <w:p w14:paraId="0FAB38E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-0.151</w:t>
            </w:r>
          </w:p>
        </w:tc>
        <w:tc>
          <w:tcPr>
            <w:tcW w:w="1032" w:type="dxa"/>
            <w:tcBorders>
              <w:top w:val="nil"/>
              <w:left w:val="nil"/>
              <w:bottom w:val="single" w:sz="4" w:space="0" w:color="auto"/>
              <w:right w:val="single" w:sz="4" w:space="0" w:color="auto"/>
            </w:tcBorders>
            <w:shd w:val="clear" w:color="auto" w:fill="auto"/>
            <w:vAlign w:val="center"/>
            <w:hideMark/>
          </w:tcPr>
          <w:p w14:paraId="36B34A9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-3.72%</w:t>
            </w:r>
          </w:p>
        </w:tc>
        <w:tc>
          <w:tcPr>
            <w:tcW w:w="1265" w:type="dxa"/>
            <w:tcBorders>
              <w:top w:val="nil"/>
              <w:left w:val="nil"/>
              <w:bottom w:val="single" w:sz="4" w:space="0" w:color="auto"/>
              <w:right w:val="single" w:sz="4" w:space="0" w:color="auto"/>
            </w:tcBorders>
            <w:shd w:val="clear" w:color="000000" w:fill="D9D9D9"/>
            <w:vAlign w:val="center"/>
            <w:hideMark/>
          </w:tcPr>
          <w:p w14:paraId="17406330"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-0.127</w:t>
            </w:r>
          </w:p>
        </w:tc>
      </w:tr>
      <w:tr w:rsidR="000F78F1" w:rsidRPr="000F78F1" w14:paraId="13D9159A"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0C7656BA"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 xml:space="preserve">Financial </w:t>
            </w:r>
            <w:proofErr w:type="spellStart"/>
            <w:r w:rsidRPr="000F78F1">
              <w:rPr>
                <w:rFonts w:eastAsia="Times New Roman" w:cs="Arial"/>
                <w:sz w:val="20"/>
                <w:szCs w:val="20"/>
                <w:lang w:eastAsia="en-GB"/>
              </w:rPr>
              <w:t>Mgt</w:t>
            </w:r>
            <w:proofErr w:type="spellEnd"/>
            <w:r w:rsidRPr="000F78F1">
              <w:rPr>
                <w:rFonts w:eastAsia="Times New Roman" w:cs="Arial"/>
                <w:sz w:val="20"/>
                <w:szCs w:val="20"/>
                <w:lang w:eastAsia="en-GB"/>
              </w:rPr>
              <w:t xml:space="preserve"> Development and Schools</w:t>
            </w:r>
          </w:p>
        </w:tc>
        <w:tc>
          <w:tcPr>
            <w:tcW w:w="1343" w:type="dxa"/>
            <w:tcBorders>
              <w:top w:val="nil"/>
              <w:left w:val="nil"/>
              <w:bottom w:val="single" w:sz="4" w:space="0" w:color="auto"/>
              <w:right w:val="single" w:sz="4" w:space="0" w:color="auto"/>
            </w:tcBorders>
            <w:shd w:val="clear" w:color="auto" w:fill="auto"/>
            <w:vAlign w:val="center"/>
            <w:hideMark/>
          </w:tcPr>
          <w:p w14:paraId="32E9D7D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0.026</w:t>
            </w:r>
          </w:p>
        </w:tc>
        <w:tc>
          <w:tcPr>
            <w:tcW w:w="1052" w:type="dxa"/>
            <w:tcBorders>
              <w:top w:val="nil"/>
              <w:left w:val="nil"/>
              <w:bottom w:val="single" w:sz="4" w:space="0" w:color="auto"/>
              <w:right w:val="single" w:sz="4" w:space="0" w:color="auto"/>
            </w:tcBorders>
            <w:shd w:val="clear" w:color="auto" w:fill="auto"/>
            <w:vAlign w:val="center"/>
            <w:hideMark/>
          </w:tcPr>
          <w:p w14:paraId="500B1F4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0.144</w:t>
            </w:r>
          </w:p>
        </w:tc>
        <w:tc>
          <w:tcPr>
            <w:tcW w:w="1085" w:type="dxa"/>
            <w:tcBorders>
              <w:top w:val="nil"/>
              <w:left w:val="nil"/>
              <w:bottom w:val="single" w:sz="4" w:space="0" w:color="auto"/>
              <w:right w:val="single" w:sz="4" w:space="0" w:color="auto"/>
            </w:tcBorders>
            <w:shd w:val="clear" w:color="000000" w:fill="D9D9D9"/>
            <w:vAlign w:val="center"/>
            <w:hideMark/>
          </w:tcPr>
          <w:p w14:paraId="55BB2F5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0.118</w:t>
            </w:r>
          </w:p>
        </w:tc>
        <w:tc>
          <w:tcPr>
            <w:tcW w:w="1032" w:type="dxa"/>
            <w:tcBorders>
              <w:top w:val="nil"/>
              <w:left w:val="nil"/>
              <w:bottom w:val="single" w:sz="4" w:space="0" w:color="auto"/>
              <w:right w:val="single" w:sz="4" w:space="0" w:color="auto"/>
            </w:tcBorders>
            <w:shd w:val="clear" w:color="auto" w:fill="auto"/>
            <w:vAlign w:val="center"/>
            <w:hideMark/>
          </w:tcPr>
          <w:p w14:paraId="0914334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453.85%</w:t>
            </w:r>
          </w:p>
        </w:tc>
        <w:tc>
          <w:tcPr>
            <w:tcW w:w="1265" w:type="dxa"/>
            <w:tcBorders>
              <w:top w:val="nil"/>
              <w:left w:val="nil"/>
              <w:bottom w:val="single" w:sz="4" w:space="0" w:color="auto"/>
              <w:right w:val="single" w:sz="4" w:space="0" w:color="auto"/>
            </w:tcBorders>
            <w:shd w:val="clear" w:color="000000" w:fill="D9D9D9"/>
            <w:vAlign w:val="center"/>
            <w:hideMark/>
          </w:tcPr>
          <w:p w14:paraId="67005C1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0.094</w:t>
            </w:r>
          </w:p>
        </w:tc>
      </w:tr>
      <w:tr w:rsidR="000F78F1" w:rsidRPr="000F78F1" w14:paraId="02C3EC61"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0A1E807A"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Financial Management (Operational)</w:t>
            </w:r>
          </w:p>
        </w:tc>
        <w:tc>
          <w:tcPr>
            <w:tcW w:w="1343" w:type="dxa"/>
            <w:tcBorders>
              <w:top w:val="nil"/>
              <w:left w:val="nil"/>
              <w:bottom w:val="single" w:sz="4" w:space="0" w:color="auto"/>
              <w:right w:val="single" w:sz="4" w:space="0" w:color="auto"/>
            </w:tcBorders>
            <w:shd w:val="clear" w:color="auto" w:fill="auto"/>
            <w:vAlign w:val="center"/>
            <w:hideMark/>
          </w:tcPr>
          <w:p w14:paraId="4F337F6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1.754</w:t>
            </w:r>
          </w:p>
        </w:tc>
        <w:tc>
          <w:tcPr>
            <w:tcW w:w="1052" w:type="dxa"/>
            <w:tcBorders>
              <w:top w:val="nil"/>
              <w:left w:val="nil"/>
              <w:bottom w:val="single" w:sz="4" w:space="0" w:color="auto"/>
              <w:right w:val="single" w:sz="4" w:space="0" w:color="auto"/>
            </w:tcBorders>
            <w:shd w:val="clear" w:color="auto" w:fill="auto"/>
            <w:vAlign w:val="center"/>
            <w:hideMark/>
          </w:tcPr>
          <w:p w14:paraId="05AB0C9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1.755</w:t>
            </w:r>
          </w:p>
        </w:tc>
        <w:tc>
          <w:tcPr>
            <w:tcW w:w="1085" w:type="dxa"/>
            <w:tcBorders>
              <w:top w:val="nil"/>
              <w:left w:val="nil"/>
              <w:bottom w:val="single" w:sz="4" w:space="0" w:color="auto"/>
              <w:right w:val="single" w:sz="4" w:space="0" w:color="auto"/>
            </w:tcBorders>
            <w:shd w:val="clear" w:color="000000" w:fill="D9D9D9"/>
            <w:vAlign w:val="center"/>
            <w:hideMark/>
          </w:tcPr>
          <w:p w14:paraId="0E0E36C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0.001</w:t>
            </w:r>
          </w:p>
        </w:tc>
        <w:tc>
          <w:tcPr>
            <w:tcW w:w="1032" w:type="dxa"/>
            <w:tcBorders>
              <w:top w:val="nil"/>
              <w:left w:val="nil"/>
              <w:bottom w:val="single" w:sz="4" w:space="0" w:color="auto"/>
              <w:right w:val="single" w:sz="4" w:space="0" w:color="auto"/>
            </w:tcBorders>
            <w:shd w:val="clear" w:color="auto" w:fill="auto"/>
            <w:vAlign w:val="center"/>
            <w:hideMark/>
          </w:tcPr>
          <w:p w14:paraId="5259105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0.06%</w:t>
            </w:r>
          </w:p>
        </w:tc>
        <w:tc>
          <w:tcPr>
            <w:tcW w:w="1265" w:type="dxa"/>
            <w:tcBorders>
              <w:top w:val="nil"/>
              <w:left w:val="nil"/>
              <w:bottom w:val="single" w:sz="4" w:space="0" w:color="auto"/>
              <w:right w:val="single" w:sz="4" w:space="0" w:color="auto"/>
            </w:tcBorders>
            <w:shd w:val="clear" w:color="000000" w:fill="D9D9D9"/>
            <w:vAlign w:val="center"/>
            <w:hideMark/>
          </w:tcPr>
          <w:p w14:paraId="3DD3D5F5"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0.050</w:t>
            </w:r>
          </w:p>
        </w:tc>
      </w:tr>
      <w:tr w:rsidR="000F78F1" w:rsidRPr="000F78F1" w14:paraId="09550CEA"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314FE695"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Corporate Finance</w:t>
            </w:r>
          </w:p>
        </w:tc>
        <w:tc>
          <w:tcPr>
            <w:tcW w:w="1343" w:type="dxa"/>
            <w:tcBorders>
              <w:top w:val="nil"/>
              <w:left w:val="nil"/>
              <w:bottom w:val="single" w:sz="4" w:space="0" w:color="auto"/>
              <w:right w:val="single" w:sz="4" w:space="0" w:color="auto"/>
            </w:tcBorders>
            <w:shd w:val="clear" w:color="auto" w:fill="auto"/>
            <w:vAlign w:val="center"/>
            <w:hideMark/>
          </w:tcPr>
          <w:p w14:paraId="614DB57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8.405</w:t>
            </w:r>
          </w:p>
        </w:tc>
        <w:tc>
          <w:tcPr>
            <w:tcW w:w="1052" w:type="dxa"/>
            <w:tcBorders>
              <w:top w:val="nil"/>
              <w:left w:val="nil"/>
              <w:bottom w:val="single" w:sz="4" w:space="0" w:color="auto"/>
              <w:right w:val="single" w:sz="4" w:space="0" w:color="auto"/>
            </w:tcBorders>
            <w:shd w:val="clear" w:color="auto" w:fill="auto"/>
            <w:vAlign w:val="center"/>
            <w:hideMark/>
          </w:tcPr>
          <w:p w14:paraId="7D36ED0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8.169</w:t>
            </w:r>
          </w:p>
        </w:tc>
        <w:tc>
          <w:tcPr>
            <w:tcW w:w="1085" w:type="dxa"/>
            <w:tcBorders>
              <w:top w:val="nil"/>
              <w:left w:val="nil"/>
              <w:bottom w:val="single" w:sz="4" w:space="0" w:color="auto"/>
              <w:right w:val="single" w:sz="4" w:space="0" w:color="auto"/>
            </w:tcBorders>
            <w:shd w:val="clear" w:color="000000" w:fill="D9D9D9"/>
            <w:vAlign w:val="center"/>
            <w:hideMark/>
          </w:tcPr>
          <w:p w14:paraId="3F2FB66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-0.236</w:t>
            </w:r>
          </w:p>
        </w:tc>
        <w:tc>
          <w:tcPr>
            <w:tcW w:w="1032" w:type="dxa"/>
            <w:tcBorders>
              <w:top w:val="nil"/>
              <w:left w:val="nil"/>
              <w:bottom w:val="single" w:sz="4" w:space="0" w:color="auto"/>
              <w:right w:val="single" w:sz="4" w:space="0" w:color="auto"/>
            </w:tcBorders>
            <w:shd w:val="clear" w:color="auto" w:fill="auto"/>
            <w:vAlign w:val="center"/>
            <w:hideMark/>
          </w:tcPr>
          <w:p w14:paraId="2475625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-2.81%</w:t>
            </w:r>
          </w:p>
        </w:tc>
        <w:tc>
          <w:tcPr>
            <w:tcW w:w="1265" w:type="dxa"/>
            <w:tcBorders>
              <w:top w:val="nil"/>
              <w:left w:val="nil"/>
              <w:bottom w:val="single" w:sz="4" w:space="0" w:color="auto"/>
              <w:right w:val="single" w:sz="4" w:space="0" w:color="auto"/>
            </w:tcBorders>
            <w:shd w:val="clear" w:color="000000" w:fill="D9D9D9"/>
            <w:vAlign w:val="center"/>
            <w:hideMark/>
          </w:tcPr>
          <w:p w14:paraId="4649692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-0.180</w:t>
            </w:r>
          </w:p>
        </w:tc>
      </w:tr>
      <w:tr w:rsidR="000F78F1" w:rsidRPr="000F78F1" w14:paraId="056C389B"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1EDD2282"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Payroll Services</w:t>
            </w:r>
          </w:p>
        </w:tc>
        <w:tc>
          <w:tcPr>
            <w:tcW w:w="1343" w:type="dxa"/>
            <w:tcBorders>
              <w:top w:val="nil"/>
              <w:left w:val="nil"/>
              <w:bottom w:val="single" w:sz="4" w:space="0" w:color="auto"/>
              <w:right w:val="single" w:sz="4" w:space="0" w:color="auto"/>
            </w:tcBorders>
            <w:shd w:val="clear" w:color="auto" w:fill="auto"/>
            <w:vAlign w:val="center"/>
            <w:hideMark/>
          </w:tcPr>
          <w:p w14:paraId="2481A33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1.056</w:t>
            </w:r>
          </w:p>
        </w:tc>
        <w:tc>
          <w:tcPr>
            <w:tcW w:w="1052" w:type="dxa"/>
            <w:tcBorders>
              <w:top w:val="nil"/>
              <w:left w:val="nil"/>
              <w:bottom w:val="single" w:sz="4" w:space="0" w:color="auto"/>
              <w:right w:val="single" w:sz="4" w:space="0" w:color="auto"/>
            </w:tcBorders>
            <w:shd w:val="clear" w:color="auto" w:fill="auto"/>
            <w:vAlign w:val="center"/>
            <w:hideMark/>
          </w:tcPr>
          <w:p w14:paraId="1C5FC54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1.077</w:t>
            </w:r>
          </w:p>
        </w:tc>
        <w:tc>
          <w:tcPr>
            <w:tcW w:w="1085" w:type="dxa"/>
            <w:tcBorders>
              <w:top w:val="nil"/>
              <w:left w:val="nil"/>
              <w:bottom w:val="single" w:sz="4" w:space="0" w:color="auto"/>
              <w:right w:val="single" w:sz="4" w:space="0" w:color="auto"/>
            </w:tcBorders>
            <w:shd w:val="clear" w:color="000000" w:fill="D9D9D9"/>
            <w:vAlign w:val="center"/>
            <w:hideMark/>
          </w:tcPr>
          <w:p w14:paraId="2120338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0.021</w:t>
            </w:r>
          </w:p>
        </w:tc>
        <w:tc>
          <w:tcPr>
            <w:tcW w:w="1032" w:type="dxa"/>
            <w:tcBorders>
              <w:top w:val="nil"/>
              <w:left w:val="nil"/>
              <w:bottom w:val="single" w:sz="4" w:space="0" w:color="auto"/>
              <w:right w:val="single" w:sz="4" w:space="0" w:color="auto"/>
            </w:tcBorders>
            <w:shd w:val="clear" w:color="auto" w:fill="auto"/>
            <w:vAlign w:val="center"/>
            <w:hideMark/>
          </w:tcPr>
          <w:p w14:paraId="6B646EE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1.99%</w:t>
            </w:r>
          </w:p>
        </w:tc>
        <w:tc>
          <w:tcPr>
            <w:tcW w:w="1265" w:type="dxa"/>
            <w:tcBorders>
              <w:top w:val="nil"/>
              <w:left w:val="nil"/>
              <w:bottom w:val="single" w:sz="4" w:space="0" w:color="auto"/>
              <w:right w:val="single" w:sz="4" w:space="0" w:color="auto"/>
            </w:tcBorders>
            <w:shd w:val="clear" w:color="000000" w:fill="D9D9D9"/>
            <w:vAlign w:val="center"/>
            <w:hideMark/>
          </w:tcPr>
          <w:p w14:paraId="06FF2647"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0.024</w:t>
            </w:r>
          </w:p>
        </w:tc>
      </w:tr>
      <w:tr w:rsidR="000F78F1" w:rsidRPr="000F78F1" w14:paraId="009BE43C"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23C43860"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Procurement</w:t>
            </w:r>
          </w:p>
        </w:tc>
        <w:tc>
          <w:tcPr>
            <w:tcW w:w="1343" w:type="dxa"/>
            <w:tcBorders>
              <w:top w:val="nil"/>
              <w:left w:val="nil"/>
              <w:bottom w:val="single" w:sz="4" w:space="0" w:color="auto"/>
              <w:right w:val="single" w:sz="4" w:space="0" w:color="auto"/>
            </w:tcBorders>
            <w:shd w:val="clear" w:color="auto" w:fill="auto"/>
            <w:vAlign w:val="center"/>
            <w:hideMark/>
          </w:tcPr>
          <w:p w14:paraId="39B378D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2.275</w:t>
            </w:r>
          </w:p>
        </w:tc>
        <w:tc>
          <w:tcPr>
            <w:tcW w:w="1052" w:type="dxa"/>
            <w:tcBorders>
              <w:top w:val="nil"/>
              <w:left w:val="nil"/>
              <w:bottom w:val="single" w:sz="4" w:space="0" w:color="auto"/>
              <w:right w:val="single" w:sz="4" w:space="0" w:color="auto"/>
            </w:tcBorders>
            <w:shd w:val="clear" w:color="auto" w:fill="auto"/>
            <w:vAlign w:val="center"/>
            <w:hideMark/>
          </w:tcPr>
          <w:p w14:paraId="352FB24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2.298</w:t>
            </w:r>
          </w:p>
        </w:tc>
        <w:tc>
          <w:tcPr>
            <w:tcW w:w="1085" w:type="dxa"/>
            <w:tcBorders>
              <w:top w:val="nil"/>
              <w:left w:val="nil"/>
              <w:bottom w:val="single" w:sz="4" w:space="0" w:color="auto"/>
              <w:right w:val="single" w:sz="4" w:space="0" w:color="auto"/>
            </w:tcBorders>
            <w:shd w:val="clear" w:color="000000" w:fill="D9D9D9"/>
            <w:vAlign w:val="center"/>
            <w:hideMark/>
          </w:tcPr>
          <w:p w14:paraId="01D68C3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0.023</w:t>
            </w:r>
          </w:p>
        </w:tc>
        <w:tc>
          <w:tcPr>
            <w:tcW w:w="1032" w:type="dxa"/>
            <w:tcBorders>
              <w:top w:val="nil"/>
              <w:left w:val="nil"/>
              <w:bottom w:val="single" w:sz="4" w:space="0" w:color="auto"/>
              <w:right w:val="single" w:sz="4" w:space="0" w:color="auto"/>
            </w:tcBorders>
            <w:shd w:val="clear" w:color="auto" w:fill="auto"/>
            <w:vAlign w:val="center"/>
            <w:hideMark/>
          </w:tcPr>
          <w:p w14:paraId="1ECE8FB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1.01%</w:t>
            </w:r>
          </w:p>
        </w:tc>
        <w:tc>
          <w:tcPr>
            <w:tcW w:w="1265" w:type="dxa"/>
            <w:tcBorders>
              <w:top w:val="nil"/>
              <w:left w:val="nil"/>
              <w:bottom w:val="single" w:sz="4" w:space="0" w:color="auto"/>
              <w:right w:val="single" w:sz="4" w:space="0" w:color="auto"/>
            </w:tcBorders>
            <w:shd w:val="clear" w:color="000000" w:fill="D9D9D9"/>
            <w:vAlign w:val="center"/>
            <w:hideMark/>
          </w:tcPr>
          <w:p w14:paraId="756D63D5"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0.036</w:t>
            </w:r>
          </w:p>
        </w:tc>
      </w:tr>
      <w:tr w:rsidR="000F78F1" w:rsidRPr="000F78F1" w14:paraId="1454E9EB"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78F7D07"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Internal Audit</w:t>
            </w:r>
          </w:p>
        </w:tc>
        <w:tc>
          <w:tcPr>
            <w:tcW w:w="1343" w:type="dxa"/>
            <w:tcBorders>
              <w:top w:val="nil"/>
              <w:left w:val="nil"/>
              <w:bottom w:val="single" w:sz="4" w:space="0" w:color="auto"/>
              <w:right w:val="single" w:sz="4" w:space="0" w:color="auto"/>
            </w:tcBorders>
            <w:shd w:val="clear" w:color="auto" w:fill="auto"/>
            <w:vAlign w:val="center"/>
            <w:hideMark/>
          </w:tcPr>
          <w:p w14:paraId="56BC6E5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0.827</w:t>
            </w:r>
          </w:p>
        </w:tc>
        <w:tc>
          <w:tcPr>
            <w:tcW w:w="1052" w:type="dxa"/>
            <w:tcBorders>
              <w:top w:val="nil"/>
              <w:left w:val="nil"/>
              <w:bottom w:val="single" w:sz="4" w:space="0" w:color="auto"/>
              <w:right w:val="single" w:sz="4" w:space="0" w:color="auto"/>
            </w:tcBorders>
            <w:shd w:val="clear" w:color="auto" w:fill="auto"/>
            <w:vAlign w:val="center"/>
            <w:hideMark/>
          </w:tcPr>
          <w:p w14:paraId="15E16A6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0.866</w:t>
            </w:r>
          </w:p>
        </w:tc>
        <w:tc>
          <w:tcPr>
            <w:tcW w:w="1085" w:type="dxa"/>
            <w:tcBorders>
              <w:top w:val="nil"/>
              <w:left w:val="nil"/>
              <w:bottom w:val="single" w:sz="4" w:space="0" w:color="auto"/>
              <w:right w:val="single" w:sz="4" w:space="0" w:color="auto"/>
            </w:tcBorders>
            <w:shd w:val="clear" w:color="000000" w:fill="D9D9D9"/>
            <w:vAlign w:val="center"/>
            <w:hideMark/>
          </w:tcPr>
          <w:p w14:paraId="03BBBBC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0.039</w:t>
            </w:r>
          </w:p>
        </w:tc>
        <w:tc>
          <w:tcPr>
            <w:tcW w:w="1032" w:type="dxa"/>
            <w:tcBorders>
              <w:top w:val="nil"/>
              <w:left w:val="nil"/>
              <w:bottom w:val="single" w:sz="4" w:space="0" w:color="auto"/>
              <w:right w:val="single" w:sz="4" w:space="0" w:color="auto"/>
            </w:tcBorders>
            <w:shd w:val="clear" w:color="auto" w:fill="auto"/>
            <w:vAlign w:val="center"/>
            <w:hideMark/>
          </w:tcPr>
          <w:p w14:paraId="541E6F6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4.72%</w:t>
            </w:r>
          </w:p>
        </w:tc>
        <w:tc>
          <w:tcPr>
            <w:tcW w:w="1265" w:type="dxa"/>
            <w:tcBorders>
              <w:top w:val="nil"/>
              <w:left w:val="nil"/>
              <w:bottom w:val="single" w:sz="4" w:space="0" w:color="auto"/>
              <w:right w:val="single" w:sz="4" w:space="0" w:color="auto"/>
            </w:tcBorders>
            <w:shd w:val="clear" w:color="000000" w:fill="D9D9D9"/>
            <w:vAlign w:val="center"/>
            <w:hideMark/>
          </w:tcPr>
          <w:p w14:paraId="2EA53E5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0.039</w:t>
            </w:r>
          </w:p>
        </w:tc>
      </w:tr>
      <w:tr w:rsidR="000F78F1" w:rsidRPr="000F78F1" w14:paraId="514456A3"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189EA834"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Finance Services</w:t>
            </w:r>
          </w:p>
        </w:tc>
        <w:tc>
          <w:tcPr>
            <w:tcW w:w="1343" w:type="dxa"/>
            <w:tcBorders>
              <w:top w:val="nil"/>
              <w:left w:val="nil"/>
              <w:bottom w:val="single" w:sz="8" w:space="0" w:color="auto"/>
              <w:right w:val="single" w:sz="4" w:space="0" w:color="auto"/>
            </w:tcBorders>
            <w:shd w:val="clear" w:color="000000" w:fill="D9D9D9"/>
            <w:vAlign w:val="center"/>
            <w:hideMark/>
          </w:tcPr>
          <w:p w14:paraId="19A77F7A"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18.401</w:t>
            </w:r>
          </w:p>
        </w:tc>
        <w:tc>
          <w:tcPr>
            <w:tcW w:w="1052" w:type="dxa"/>
            <w:tcBorders>
              <w:top w:val="nil"/>
              <w:left w:val="nil"/>
              <w:bottom w:val="single" w:sz="8" w:space="0" w:color="auto"/>
              <w:right w:val="single" w:sz="4" w:space="0" w:color="auto"/>
            </w:tcBorders>
            <w:shd w:val="clear" w:color="000000" w:fill="D9D9D9"/>
            <w:vAlign w:val="center"/>
            <w:hideMark/>
          </w:tcPr>
          <w:p w14:paraId="49D221B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18.214</w:t>
            </w:r>
          </w:p>
        </w:tc>
        <w:tc>
          <w:tcPr>
            <w:tcW w:w="1085" w:type="dxa"/>
            <w:tcBorders>
              <w:top w:val="nil"/>
              <w:left w:val="nil"/>
              <w:bottom w:val="single" w:sz="8" w:space="0" w:color="auto"/>
              <w:right w:val="single" w:sz="4" w:space="0" w:color="auto"/>
            </w:tcBorders>
            <w:shd w:val="clear" w:color="000000" w:fill="D9D9D9"/>
            <w:vAlign w:val="center"/>
            <w:hideMark/>
          </w:tcPr>
          <w:p w14:paraId="1D6464B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-0.187</w:t>
            </w:r>
          </w:p>
        </w:tc>
        <w:tc>
          <w:tcPr>
            <w:tcW w:w="1032" w:type="dxa"/>
            <w:tcBorders>
              <w:top w:val="nil"/>
              <w:left w:val="nil"/>
              <w:bottom w:val="single" w:sz="8" w:space="0" w:color="auto"/>
              <w:right w:val="single" w:sz="4" w:space="0" w:color="auto"/>
            </w:tcBorders>
            <w:shd w:val="clear" w:color="000000" w:fill="D9D9D9"/>
            <w:vAlign w:val="center"/>
            <w:hideMark/>
          </w:tcPr>
          <w:p w14:paraId="2F7978C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-1.02%</w:t>
            </w:r>
          </w:p>
        </w:tc>
        <w:tc>
          <w:tcPr>
            <w:tcW w:w="1265" w:type="dxa"/>
            <w:tcBorders>
              <w:top w:val="nil"/>
              <w:left w:val="nil"/>
              <w:bottom w:val="single" w:sz="8" w:space="0" w:color="auto"/>
              <w:right w:val="single" w:sz="4" w:space="0" w:color="auto"/>
            </w:tcBorders>
            <w:shd w:val="clear" w:color="000000" w:fill="D9D9D9"/>
            <w:vAlign w:val="center"/>
            <w:hideMark/>
          </w:tcPr>
          <w:p w14:paraId="621B6D7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-0.064</w:t>
            </w:r>
          </w:p>
        </w:tc>
      </w:tr>
      <w:tr w:rsidR="000F78F1" w:rsidRPr="000F78F1" w14:paraId="78CECE35"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45BC7937"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6A83103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41110024"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443F44D6"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4A40A4D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2D001FC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57A2785" w14:textId="77777777" w:rsidTr="00C11DAC">
        <w:trPr>
          <w:trHeight w:val="272"/>
        </w:trPr>
        <w:tc>
          <w:tcPr>
            <w:tcW w:w="390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0C9AFB5"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Service Assurance</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44666E5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21.214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28A3292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20.611</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166E0C6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-0.603</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6DE28A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-2.84%</w:t>
            </w:r>
          </w:p>
        </w:tc>
        <w:tc>
          <w:tcPr>
            <w:tcW w:w="1265" w:type="dxa"/>
            <w:tcBorders>
              <w:top w:val="single" w:sz="4" w:space="0" w:color="auto"/>
              <w:left w:val="nil"/>
              <w:bottom w:val="single" w:sz="4" w:space="0" w:color="auto"/>
              <w:right w:val="single" w:sz="4" w:space="0" w:color="auto"/>
            </w:tcBorders>
            <w:shd w:val="clear" w:color="000000" w:fill="D9D9D9"/>
            <w:vAlign w:val="center"/>
            <w:hideMark/>
          </w:tcPr>
          <w:p w14:paraId="63CA5DB7"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-1.725</w:t>
            </w:r>
          </w:p>
        </w:tc>
      </w:tr>
      <w:tr w:rsidR="000F78F1" w:rsidRPr="000F78F1" w14:paraId="5774EB4B"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1A4B04B1"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Digital Business Engagement</w:t>
            </w:r>
          </w:p>
        </w:tc>
        <w:tc>
          <w:tcPr>
            <w:tcW w:w="1343" w:type="dxa"/>
            <w:tcBorders>
              <w:top w:val="nil"/>
              <w:left w:val="nil"/>
              <w:bottom w:val="single" w:sz="4" w:space="0" w:color="auto"/>
              <w:right w:val="single" w:sz="4" w:space="0" w:color="auto"/>
            </w:tcBorders>
            <w:shd w:val="clear" w:color="auto" w:fill="auto"/>
            <w:vAlign w:val="center"/>
            <w:hideMark/>
          </w:tcPr>
          <w:p w14:paraId="4AFFB8F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2.341</w:t>
            </w:r>
          </w:p>
        </w:tc>
        <w:tc>
          <w:tcPr>
            <w:tcW w:w="1052" w:type="dxa"/>
            <w:tcBorders>
              <w:top w:val="nil"/>
              <w:left w:val="nil"/>
              <w:bottom w:val="single" w:sz="4" w:space="0" w:color="auto"/>
              <w:right w:val="single" w:sz="4" w:space="0" w:color="auto"/>
            </w:tcBorders>
            <w:shd w:val="clear" w:color="auto" w:fill="auto"/>
            <w:vAlign w:val="center"/>
            <w:hideMark/>
          </w:tcPr>
          <w:p w14:paraId="4F66C9B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2.081</w:t>
            </w:r>
          </w:p>
        </w:tc>
        <w:tc>
          <w:tcPr>
            <w:tcW w:w="1085" w:type="dxa"/>
            <w:tcBorders>
              <w:top w:val="nil"/>
              <w:left w:val="nil"/>
              <w:bottom w:val="single" w:sz="4" w:space="0" w:color="auto"/>
              <w:right w:val="single" w:sz="4" w:space="0" w:color="auto"/>
            </w:tcBorders>
            <w:shd w:val="clear" w:color="000000" w:fill="D9D9D9"/>
            <w:vAlign w:val="center"/>
            <w:hideMark/>
          </w:tcPr>
          <w:p w14:paraId="35548AD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-0.260</w:t>
            </w:r>
          </w:p>
        </w:tc>
        <w:tc>
          <w:tcPr>
            <w:tcW w:w="1032" w:type="dxa"/>
            <w:tcBorders>
              <w:top w:val="nil"/>
              <w:left w:val="nil"/>
              <w:bottom w:val="single" w:sz="4" w:space="0" w:color="auto"/>
              <w:right w:val="single" w:sz="4" w:space="0" w:color="auto"/>
            </w:tcBorders>
            <w:shd w:val="clear" w:color="auto" w:fill="auto"/>
            <w:vAlign w:val="center"/>
            <w:hideMark/>
          </w:tcPr>
          <w:p w14:paraId="075EC6B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-11.11%</w:t>
            </w:r>
          </w:p>
        </w:tc>
        <w:tc>
          <w:tcPr>
            <w:tcW w:w="1265" w:type="dxa"/>
            <w:tcBorders>
              <w:top w:val="nil"/>
              <w:left w:val="nil"/>
              <w:bottom w:val="single" w:sz="4" w:space="0" w:color="auto"/>
              <w:right w:val="single" w:sz="4" w:space="0" w:color="auto"/>
            </w:tcBorders>
            <w:shd w:val="clear" w:color="000000" w:fill="D9D9D9"/>
            <w:vAlign w:val="center"/>
            <w:hideMark/>
          </w:tcPr>
          <w:p w14:paraId="59F9992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0.148</w:t>
            </w:r>
          </w:p>
        </w:tc>
      </w:tr>
      <w:tr w:rsidR="000F78F1" w:rsidRPr="000F78F1" w14:paraId="2785D4B1"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3B7387B2"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 xml:space="preserve">Design and </w:t>
            </w:r>
            <w:proofErr w:type="gramStart"/>
            <w:r w:rsidRPr="000F78F1">
              <w:rPr>
                <w:rFonts w:eastAsia="Times New Roman" w:cs="Arial"/>
                <w:sz w:val="20"/>
                <w:szCs w:val="20"/>
                <w:lang w:eastAsia="en-GB"/>
              </w:rPr>
              <w:t>Implement</w:t>
            </w:r>
            <w:proofErr w:type="gramEnd"/>
          </w:p>
        </w:tc>
        <w:tc>
          <w:tcPr>
            <w:tcW w:w="1343" w:type="dxa"/>
            <w:tcBorders>
              <w:top w:val="nil"/>
              <w:left w:val="nil"/>
              <w:bottom w:val="single" w:sz="4" w:space="0" w:color="auto"/>
              <w:right w:val="single" w:sz="4" w:space="0" w:color="auto"/>
            </w:tcBorders>
            <w:shd w:val="clear" w:color="auto" w:fill="auto"/>
            <w:vAlign w:val="center"/>
            <w:hideMark/>
          </w:tcPr>
          <w:p w14:paraId="5A297D4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5.446</w:t>
            </w:r>
          </w:p>
        </w:tc>
        <w:tc>
          <w:tcPr>
            <w:tcW w:w="1052" w:type="dxa"/>
            <w:tcBorders>
              <w:top w:val="nil"/>
              <w:left w:val="nil"/>
              <w:bottom w:val="single" w:sz="4" w:space="0" w:color="auto"/>
              <w:right w:val="single" w:sz="4" w:space="0" w:color="auto"/>
            </w:tcBorders>
            <w:shd w:val="clear" w:color="auto" w:fill="auto"/>
            <w:vAlign w:val="center"/>
            <w:hideMark/>
          </w:tcPr>
          <w:p w14:paraId="04B7B67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5.455</w:t>
            </w:r>
          </w:p>
        </w:tc>
        <w:tc>
          <w:tcPr>
            <w:tcW w:w="1085" w:type="dxa"/>
            <w:tcBorders>
              <w:top w:val="nil"/>
              <w:left w:val="nil"/>
              <w:bottom w:val="single" w:sz="4" w:space="0" w:color="auto"/>
              <w:right w:val="single" w:sz="4" w:space="0" w:color="auto"/>
            </w:tcBorders>
            <w:shd w:val="clear" w:color="000000" w:fill="D9D9D9"/>
            <w:vAlign w:val="center"/>
            <w:hideMark/>
          </w:tcPr>
          <w:p w14:paraId="16DF59A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0.009</w:t>
            </w:r>
          </w:p>
        </w:tc>
        <w:tc>
          <w:tcPr>
            <w:tcW w:w="1032" w:type="dxa"/>
            <w:tcBorders>
              <w:top w:val="nil"/>
              <w:left w:val="nil"/>
              <w:bottom w:val="single" w:sz="4" w:space="0" w:color="auto"/>
              <w:right w:val="single" w:sz="4" w:space="0" w:color="auto"/>
            </w:tcBorders>
            <w:shd w:val="clear" w:color="auto" w:fill="auto"/>
            <w:vAlign w:val="center"/>
            <w:hideMark/>
          </w:tcPr>
          <w:p w14:paraId="1180446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0.17%</w:t>
            </w:r>
          </w:p>
        </w:tc>
        <w:tc>
          <w:tcPr>
            <w:tcW w:w="1265" w:type="dxa"/>
            <w:tcBorders>
              <w:top w:val="nil"/>
              <w:left w:val="nil"/>
              <w:bottom w:val="single" w:sz="4" w:space="0" w:color="auto"/>
              <w:right w:val="single" w:sz="4" w:space="0" w:color="auto"/>
            </w:tcBorders>
            <w:shd w:val="clear" w:color="000000" w:fill="D9D9D9"/>
            <w:vAlign w:val="center"/>
            <w:hideMark/>
          </w:tcPr>
          <w:p w14:paraId="00CBDA64"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0.018</w:t>
            </w:r>
          </w:p>
        </w:tc>
      </w:tr>
      <w:tr w:rsidR="000F78F1" w:rsidRPr="000F78F1" w14:paraId="63E3C237"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543D642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Operate</w:t>
            </w:r>
          </w:p>
        </w:tc>
        <w:tc>
          <w:tcPr>
            <w:tcW w:w="1343" w:type="dxa"/>
            <w:tcBorders>
              <w:top w:val="nil"/>
              <w:left w:val="nil"/>
              <w:bottom w:val="single" w:sz="4" w:space="0" w:color="auto"/>
              <w:right w:val="single" w:sz="4" w:space="0" w:color="auto"/>
            </w:tcBorders>
            <w:shd w:val="clear" w:color="auto" w:fill="auto"/>
            <w:vAlign w:val="center"/>
            <w:hideMark/>
          </w:tcPr>
          <w:p w14:paraId="5237964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3.689</w:t>
            </w:r>
          </w:p>
        </w:tc>
        <w:tc>
          <w:tcPr>
            <w:tcW w:w="1052" w:type="dxa"/>
            <w:tcBorders>
              <w:top w:val="nil"/>
              <w:left w:val="nil"/>
              <w:bottom w:val="single" w:sz="4" w:space="0" w:color="auto"/>
              <w:right w:val="single" w:sz="4" w:space="0" w:color="auto"/>
            </w:tcBorders>
            <w:shd w:val="clear" w:color="auto" w:fill="auto"/>
            <w:vAlign w:val="center"/>
            <w:hideMark/>
          </w:tcPr>
          <w:p w14:paraId="398BFD4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3.655</w:t>
            </w:r>
          </w:p>
        </w:tc>
        <w:tc>
          <w:tcPr>
            <w:tcW w:w="1085" w:type="dxa"/>
            <w:tcBorders>
              <w:top w:val="nil"/>
              <w:left w:val="nil"/>
              <w:bottom w:val="single" w:sz="4" w:space="0" w:color="auto"/>
              <w:right w:val="single" w:sz="4" w:space="0" w:color="auto"/>
            </w:tcBorders>
            <w:shd w:val="clear" w:color="000000" w:fill="D9D9D9"/>
            <w:vAlign w:val="center"/>
            <w:hideMark/>
          </w:tcPr>
          <w:p w14:paraId="4A7F5E9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-0.034</w:t>
            </w:r>
          </w:p>
        </w:tc>
        <w:tc>
          <w:tcPr>
            <w:tcW w:w="1032" w:type="dxa"/>
            <w:tcBorders>
              <w:top w:val="nil"/>
              <w:left w:val="nil"/>
              <w:bottom w:val="single" w:sz="4" w:space="0" w:color="auto"/>
              <w:right w:val="single" w:sz="4" w:space="0" w:color="auto"/>
            </w:tcBorders>
            <w:shd w:val="clear" w:color="auto" w:fill="auto"/>
            <w:vAlign w:val="center"/>
            <w:hideMark/>
          </w:tcPr>
          <w:p w14:paraId="135C6E4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-0.92%</w:t>
            </w:r>
          </w:p>
        </w:tc>
        <w:tc>
          <w:tcPr>
            <w:tcW w:w="1265" w:type="dxa"/>
            <w:tcBorders>
              <w:top w:val="nil"/>
              <w:left w:val="nil"/>
              <w:bottom w:val="single" w:sz="4" w:space="0" w:color="auto"/>
              <w:right w:val="single" w:sz="4" w:space="0" w:color="auto"/>
            </w:tcBorders>
            <w:shd w:val="clear" w:color="000000" w:fill="D9D9D9"/>
            <w:vAlign w:val="center"/>
            <w:hideMark/>
          </w:tcPr>
          <w:p w14:paraId="5BFF155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0.310</w:t>
            </w:r>
          </w:p>
        </w:tc>
      </w:tr>
      <w:tr w:rsidR="000F78F1" w:rsidRPr="000F78F1" w14:paraId="6C13EFA3"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339E969E"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Architecture</w:t>
            </w:r>
          </w:p>
        </w:tc>
        <w:tc>
          <w:tcPr>
            <w:tcW w:w="1343" w:type="dxa"/>
            <w:tcBorders>
              <w:top w:val="nil"/>
              <w:left w:val="nil"/>
              <w:bottom w:val="single" w:sz="4" w:space="0" w:color="auto"/>
              <w:right w:val="single" w:sz="4" w:space="0" w:color="auto"/>
            </w:tcBorders>
            <w:shd w:val="clear" w:color="auto" w:fill="auto"/>
            <w:vAlign w:val="center"/>
            <w:hideMark/>
          </w:tcPr>
          <w:p w14:paraId="6604EEA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1.111</w:t>
            </w:r>
          </w:p>
        </w:tc>
        <w:tc>
          <w:tcPr>
            <w:tcW w:w="1052" w:type="dxa"/>
            <w:tcBorders>
              <w:top w:val="nil"/>
              <w:left w:val="nil"/>
              <w:bottom w:val="single" w:sz="4" w:space="0" w:color="auto"/>
              <w:right w:val="single" w:sz="4" w:space="0" w:color="auto"/>
            </w:tcBorders>
            <w:shd w:val="clear" w:color="auto" w:fill="auto"/>
            <w:vAlign w:val="center"/>
            <w:hideMark/>
          </w:tcPr>
          <w:p w14:paraId="66458DC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0.957</w:t>
            </w:r>
          </w:p>
        </w:tc>
        <w:tc>
          <w:tcPr>
            <w:tcW w:w="1085" w:type="dxa"/>
            <w:tcBorders>
              <w:top w:val="nil"/>
              <w:left w:val="nil"/>
              <w:bottom w:val="single" w:sz="4" w:space="0" w:color="auto"/>
              <w:right w:val="single" w:sz="4" w:space="0" w:color="auto"/>
            </w:tcBorders>
            <w:shd w:val="clear" w:color="000000" w:fill="D9D9D9"/>
            <w:vAlign w:val="center"/>
            <w:hideMark/>
          </w:tcPr>
          <w:p w14:paraId="155C31A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-0.154</w:t>
            </w:r>
          </w:p>
        </w:tc>
        <w:tc>
          <w:tcPr>
            <w:tcW w:w="1032" w:type="dxa"/>
            <w:tcBorders>
              <w:top w:val="nil"/>
              <w:left w:val="nil"/>
              <w:bottom w:val="single" w:sz="4" w:space="0" w:color="auto"/>
              <w:right w:val="single" w:sz="4" w:space="0" w:color="auto"/>
            </w:tcBorders>
            <w:shd w:val="clear" w:color="auto" w:fill="auto"/>
            <w:vAlign w:val="center"/>
            <w:hideMark/>
          </w:tcPr>
          <w:p w14:paraId="0CEAB0C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-13.86%</w:t>
            </w:r>
          </w:p>
        </w:tc>
        <w:tc>
          <w:tcPr>
            <w:tcW w:w="1265" w:type="dxa"/>
            <w:tcBorders>
              <w:top w:val="nil"/>
              <w:left w:val="nil"/>
              <w:bottom w:val="single" w:sz="4" w:space="0" w:color="auto"/>
              <w:right w:val="single" w:sz="4" w:space="0" w:color="auto"/>
            </w:tcBorders>
            <w:shd w:val="clear" w:color="000000" w:fill="D9D9D9"/>
            <w:vAlign w:val="center"/>
            <w:hideMark/>
          </w:tcPr>
          <w:p w14:paraId="228BE66F"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-0.106</w:t>
            </w:r>
          </w:p>
        </w:tc>
      </w:tr>
      <w:tr w:rsidR="000F78F1" w:rsidRPr="000F78F1" w14:paraId="6A0ADA12"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53DD2CB6"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Data</w:t>
            </w:r>
          </w:p>
        </w:tc>
        <w:tc>
          <w:tcPr>
            <w:tcW w:w="1343" w:type="dxa"/>
            <w:tcBorders>
              <w:top w:val="nil"/>
              <w:left w:val="nil"/>
              <w:bottom w:val="single" w:sz="4" w:space="0" w:color="auto"/>
              <w:right w:val="single" w:sz="4" w:space="0" w:color="auto"/>
            </w:tcBorders>
            <w:shd w:val="clear" w:color="auto" w:fill="auto"/>
            <w:vAlign w:val="center"/>
            <w:hideMark/>
          </w:tcPr>
          <w:p w14:paraId="67091C8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52" w:type="dxa"/>
            <w:tcBorders>
              <w:top w:val="nil"/>
              <w:left w:val="nil"/>
              <w:bottom w:val="single" w:sz="4" w:space="0" w:color="auto"/>
              <w:right w:val="single" w:sz="4" w:space="0" w:color="auto"/>
            </w:tcBorders>
            <w:shd w:val="clear" w:color="auto" w:fill="auto"/>
            <w:vAlign w:val="center"/>
            <w:hideMark/>
          </w:tcPr>
          <w:p w14:paraId="639956A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85" w:type="dxa"/>
            <w:tcBorders>
              <w:top w:val="nil"/>
              <w:left w:val="nil"/>
              <w:bottom w:val="single" w:sz="4" w:space="0" w:color="auto"/>
              <w:right w:val="single" w:sz="4" w:space="0" w:color="auto"/>
            </w:tcBorders>
            <w:shd w:val="clear" w:color="000000" w:fill="D9D9D9"/>
            <w:vAlign w:val="center"/>
            <w:hideMark/>
          </w:tcPr>
          <w:p w14:paraId="0C9DB05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32" w:type="dxa"/>
            <w:tcBorders>
              <w:top w:val="nil"/>
              <w:left w:val="nil"/>
              <w:bottom w:val="single" w:sz="4" w:space="0" w:color="auto"/>
              <w:right w:val="single" w:sz="4" w:space="0" w:color="auto"/>
            </w:tcBorders>
            <w:shd w:val="clear" w:color="auto" w:fill="auto"/>
            <w:vAlign w:val="center"/>
            <w:hideMark/>
          </w:tcPr>
          <w:p w14:paraId="1883B10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#DIV/0!</w:t>
            </w:r>
          </w:p>
        </w:tc>
        <w:tc>
          <w:tcPr>
            <w:tcW w:w="1265" w:type="dxa"/>
            <w:tcBorders>
              <w:top w:val="nil"/>
              <w:left w:val="nil"/>
              <w:bottom w:val="single" w:sz="4" w:space="0" w:color="auto"/>
              <w:right w:val="single" w:sz="4" w:space="0" w:color="auto"/>
            </w:tcBorders>
            <w:shd w:val="clear" w:color="000000" w:fill="D9D9D9"/>
            <w:vAlign w:val="center"/>
            <w:hideMark/>
          </w:tcPr>
          <w:p w14:paraId="0F2A6FAC"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-0.186</w:t>
            </w:r>
          </w:p>
        </w:tc>
      </w:tr>
      <w:tr w:rsidR="000F78F1" w:rsidRPr="000F78F1" w14:paraId="12CA1D22"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3D5CD468"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Digital Service</w:t>
            </w:r>
          </w:p>
        </w:tc>
        <w:tc>
          <w:tcPr>
            <w:tcW w:w="1343" w:type="dxa"/>
            <w:tcBorders>
              <w:top w:val="nil"/>
              <w:left w:val="nil"/>
              <w:bottom w:val="single" w:sz="8" w:space="0" w:color="auto"/>
              <w:right w:val="single" w:sz="4" w:space="0" w:color="auto"/>
            </w:tcBorders>
            <w:shd w:val="clear" w:color="000000" w:fill="D9D9D9"/>
            <w:vAlign w:val="center"/>
            <w:hideMark/>
          </w:tcPr>
          <w:p w14:paraId="2D4D7AE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33.801</w:t>
            </w:r>
          </w:p>
        </w:tc>
        <w:tc>
          <w:tcPr>
            <w:tcW w:w="1052" w:type="dxa"/>
            <w:tcBorders>
              <w:top w:val="nil"/>
              <w:left w:val="nil"/>
              <w:bottom w:val="single" w:sz="8" w:space="0" w:color="auto"/>
              <w:right w:val="single" w:sz="4" w:space="0" w:color="auto"/>
            </w:tcBorders>
            <w:shd w:val="clear" w:color="000000" w:fill="D9D9D9"/>
            <w:vAlign w:val="center"/>
            <w:hideMark/>
          </w:tcPr>
          <w:p w14:paraId="10703FE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32.759</w:t>
            </w:r>
          </w:p>
        </w:tc>
        <w:tc>
          <w:tcPr>
            <w:tcW w:w="1085" w:type="dxa"/>
            <w:tcBorders>
              <w:top w:val="nil"/>
              <w:left w:val="nil"/>
              <w:bottom w:val="single" w:sz="8" w:space="0" w:color="auto"/>
              <w:right w:val="single" w:sz="4" w:space="0" w:color="auto"/>
            </w:tcBorders>
            <w:shd w:val="clear" w:color="000000" w:fill="D9D9D9"/>
            <w:vAlign w:val="center"/>
            <w:hideMark/>
          </w:tcPr>
          <w:p w14:paraId="3D4FD71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-1.042</w:t>
            </w:r>
          </w:p>
        </w:tc>
        <w:tc>
          <w:tcPr>
            <w:tcW w:w="1032" w:type="dxa"/>
            <w:tcBorders>
              <w:top w:val="nil"/>
              <w:left w:val="nil"/>
              <w:bottom w:val="single" w:sz="8" w:space="0" w:color="auto"/>
              <w:right w:val="single" w:sz="4" w:space="0" w:color="auto"/>
            </w:tcBorders>
            <w:shd w:val="clear" w:color="000000" w:fill="D9D9D9"/>
            <w:vAlign w:val="center"/>
            <w:hideMark/>
          </w:tcPr>
          <w:p w14:paraId="3AFC196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-3.08%</w:t>
            </w:r>
          </w:p>
        </w:tc>
        <w:tc>
          <w:tcPr>
            <w:tcW w:w="1265" w:type="dxa"/>
            <w:tcBorders>
              <w:top w:val="nil"/>
              <w:left w:val="nil"/>
              <w:bottom w:val="single" w:sz="8" w:space="0" w:color="auto"/>
              <w:right w:val="single" w:sz="4" w:space="0" w:color="auto"/>
            </w:tcBorders>
            <w:shd w:val="clear" w:color="000000" w:fill="D9D9D9"/>
            <w:vAlign w:val="center"/>
            <w:hideMark/>
          </w:tcPr>
          <w:p w14:paraId="7466474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-1.541</w:t>
            </w:r>
          </w:p>
        </w:tc>
      </w:tr>
      <w:tr w:rsidR="000F78F1" w:rsidRPr="000F78F1" w14:paraId="56DE1961"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6ECC51D4"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2F6C1FDD"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620F1FD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7945BB5E"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033208CD"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3188597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5CDA3472"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21809095"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Facilities Management</w:t>
            </w:r>
          </w:p>
        </w:tc>
        <w:tc>
          <w:tcPr>
            <w:tcW w:w="1343" w:type="dxa"/>
            <w:tcBorders>
              <w:top w:val="nil"/>
              <w:left w:val="nil"/>
              <w:bottom w:val="single" w:sz="4" w:space="0" w:color="auto"/>
              <w:right w:val="single" w:sz="4" w:space="0" w:color="auto"/>
            </w:tcBorders>
            <w:shd w:val="clear" w:color="auto" w:fill="auto"/>
            <w:vAlign w:val="center"/>
            <w:hideMark/>
          </w:tcPr>
          <w:p w14:paraId="5C375EA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23.040</w:t>
            </w:r>
          </w:p>
        </w:tc>
        <w:tc>
          <w:tcPr>
            <w:tcW w:w="1052" w:type="dxa"/>
            <w:tcBorders>
              <w:top w:val="nil"/>
              <w:left w:val="nil"/>
              <w:bottom w:val="single" w:sz="4" w:space="0" w:color="auto"/>
              <w:right w:val="single" w:sz="4" w:space="0" w:color="auto"/>
            </w:tcBorders>
            <w:shd w:val="clear" w:color="auto" w:fill="auto"/>
            <w:vAlign w:val="center"/>
            <w:hideMark/>
          </w:tcPr>
          <w:p w14:paraId="5336DAD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24.555</w:t>
            </w:r>
          </w:p>
        </w:tc>
        <w:tc>
          <w:tcPr>
            <w:tcW w:w="1085" w:type="dxa"/>
            <w:tcBorders>
              <w:top w:val="nil"/>
              <w:left w:val="nil"/>
              <w:bottom w:val="single" w:sz="4" w:space="0" w:color="auto"/>
              <w:right w:val="single" w:sz="4" w:space="0" w:color="auto"/>
            </w:tcBorders>
            <w:shd w:val="clear" w:color="000000" w:fill="D9D9D9"/>
            <w:vAlign w:val="center"/>
            <w:hideMark/>
          </w:tcPr>
          <w:p w14:paraId="7A75A64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1.515</w:t>
            </w:r>
          </w:p>
        </w:tc>
        <w:tc>
          <w:tcPr>
            <w:tcW w:w="1032" w:type="dxa"/>
            <w:tcBorders>
              <w:top w:val="nil"/>
              <w:left w:val="nil"/>
              <w:bottom w:val="single" w:sz="4" w:space="0" w:color="auto"/>
              <w:right w:val="single" w:sz="4" w:space="0" w:color="auto"/>
            </w:tcBorders>
            <w:shd w:val="clear" w:color="auto" w:fill="auto"/>
            <w:vAlign w:val="center"/>
            <w:hideMark/>
          </w:tcPr>
          <w:p w14:paraId="0E797CB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6.58%</w:t>
            </w:r>
          </w:p>
        </w:tc>
        <w:tc>
          <w:tcPr>
            <w:tcW w:w="1265" w:type="dxa"/>
            <w:tcBorders>
              <w:top w:val="nil"/>
              <w:left w:val="nil"/>
              <w:bottom w:val="single" w:sz="4" w:space="0" w:color="auto"/>
              <w:right w:val="single" w:sz="4" w:space="0" w:color="auto"/>
            </w:tcBorders>
            <w:shd w:val="clear" w:color="000000" w:fill="D9D9D9"/>
            <w:vAlign w:val="center"/>
            <w:hideMark/>
          </w:tcPr>
          <w:p w14:paraId="65B14613"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2.062</w:t>
            </w:r>
          </w:p>
        </w:tc>
      </w:tr>
      <w:tr w:rsidR="000F78F1" w:rsidRPr="000F78F1" w14:paraId="320A25C5"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3A1AE8A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Asset Management</w:t>
            </w:r>
          </w:p>
        </w:tc>
        <w:tc>
          <w:tcPr>
            <w:tcW w:w="1343" w:type="dxa"/>
            <w:tcBorders>
              <w:top w:val="nil"/>
              <w:left w:val="nil"/>
              <w:bottom w:val="single" w:sz="4" w:space="0" w:color="auto"/>
              <w:right w:val="single" w:sz="4" w:space="0" w:color="auto"/>
            </w:tcBorders>
            <w:shd w:val="clear" w:color="auto" w:fill="auto"/>
            <w:vAlign w:val="center"/>
            <w:hideMark/>
          </w:tcPr>
          <w:p w14:paraId="355D514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9.164</w:t>
            </w:r>
          </w:p>
        </w:tc>
        <w:tc>
          <w:tcPr>
            <w:tcW w:w="1052" w:type="dxa"/>
            <w:tcBorders>
              <w:top w:val="nil"/>
              <w:left w:val="nil"/>
              <w:bottom w:val="single" w:sz="4" w:space="0" w:color="auto"/>
              <w:right w:val="single" w:sz="4" w:space="0" w:color="auto"/>
            </w:tcBorders>
            <w:shd w:val="clear" w:color="auto" w:fill="auto"/>
            <w:vAlign w:val="center"/>
            <w:hideMark/>
          </w:tcPr>
          <w:p w14:paraId="5804B4A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8.626</w:t>
            </w:r>
          </w:p>
        </w:tc>
        <w:tc>
          <w:tcPr>
            <w:tcW w:w="1085" w:type="dxa"/>
            <w:tcBorders>
              <w:top w:val="nil"/>
              <w:left w:val="nil"/>
              <w:bottom w:val="single" w:sz="4" w:space="0" w:color="auto"/>
              <w:right w:val="single" w:sz="4" w:space="0" w:color="auto"/>
            </w:tcBorders>
            <w:shd w:val="clear" w:color="000000" w:fill="D9D9D9"/>
            <w:vAlign w:val="center"/>
            <w:hideMark/>
          </w:tcPr>
          <w:p w14:paraId="4792BDD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-0.538</w:t>
            </w:r>
          </w:p>
        </w:tc>
        <w:tc>
          <w:tcPr>
            <w:tcW w:w="1032" w:type="dxa"/>
            <w:tcBorders>
              <w:top w:val="nil"/>
              <w:left w:val="nil"/>
              <w:bottom w:val="single" w:sz="4" w:space="0" w:color="auto"/>
              <w:right w:val="single" w:sz="4" w:space="0" w:color="auto"/>
            </w:tcBorders>
            <w:shd w:val="clear" w:color="auto" w:fill="auto"/>
            <w:vAlign w:val="center"/>
            <w:hideMark/>
          </w:tcPr>
          <w:p w14:paraId="638A894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-5.87%</w:t>
            </w:r>
          </w:p>
        </w:tc>
        <w:tc>
          <w:tcPr>
            <w:tcW w:w="1265" w:type="dxa"/>
            <w:tcBorders>
              <w:top w:val="nil"/>
              <w:left w:val="nil"/>
              <w:bottom w:val="single" w:sz="4" w:space="0" w:color="auto"/>
              <w:right w:val="single" w:sz="4" w:space="0" w:color="auto"/>
            </w:tcBorders>
            <w:shd w:val="clear" w:color="000000" w:fill="D9D9D9"/>
            <w:vAlign w:val="center"/>
            <w:hideMark/>
          </w:tcPr>
          <w:p w14:paraId="54C2036C"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-0.144</w:t>
            </w:r>
          </w:p>
        </w:tc>
      </w:tr>
      <w:tr w:rsidR="000F78F1" w:rsidRPr="000F78F1" w14:paraId="71D2021E"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4A57C0B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Business Intelligence</w:t>
            </w:r>
          </w:p>
        </w:tc>
        <w:tc>
          <w:tcPr>
            <w:tcW w:w="1343" w:type="dxa"/>
            <w:tcBorders>
              <w:top w:val="nil"/>
              <w:left w:val="nil"/>
              <w:bottom w:val="single" w:sz="4" w:space="0" w:color="auto"/>
              <w:right w:val="single" w:sz="4" w:space="0" w:color="auto"/>
            </w:tcBorders>
            <w:shd w:val="clear" w:color="auto" w:fill="auto"/>
            <w:vAlign w:val="center"/>
            <w:hideMark/>
          </w:tcPr>
          <w:p w14:paraId="238A327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1.502</w:t>
            </w:r>
          </w:p>
        </w:tc>
        <w:tc>
          <w:tcPr>
            <w:tcW w:w="1052" w:type="dxa"/>
            <w:tcBorders>
              <w:top w:val="nil"/>
              <w:left w:val="nil"/>
              <w:bottom w:val="single" w:sz="4" w:space="0" w:color="auto"/>
              <w:right w:val="single" w:sz="4" w:space="0" w:color="auto"/>
            </w:tcBorders>
            <w:shd w:val="clear" w:color="auto" w:fill="auto"/>
            <w:vAlign w:val="center"/>
            <w:hideMark/>
          </w:tcPr>
          <w:p w14:paraId="07BF836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1.485</w:t>
            </w:r>
          </w:p>
        </w:tc>
        <w:tc>
          <w:tcPr>
            <w:tcW w:w="1085" w:type="dxa"/>
            <w:tcBorders>
              <w:top w:val="nil"/>
              <w:left w:val="nil"/>
              <w:bottom w:val="single" w:sz="4" w:space="0" w:color="auto"/>
              <w:right w:val="single" w:sz="4" w:space="0" w:color="auto"/>
            </w:tcBorders>
            <w:shd w:val="clear" w:color="000000" w:fill="D9D9D9"/>
            <w:vAlign w:val="center"/>
            <w:hideMark/>
          </w:tcPr>
          <w:p w14:paraId="5920134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-0.017</w:t>
            </w:r>
          </w:p>
        </w:tc>
        <w:tc>
          <w:tcPr>
            <w:tcW w:w="1032" w:type="dxa"/>
            <w:tcBorders>
              <w:top w:val="nil"/>
              <w:left w:val="nil"/>
              <w:bottom w:val="single" w:sz="4" w:space="0" w:color="auto"/>
              <w:right w:val="single" w:sz="4" w:space="0" w:color="auto"/>
            </w:tcBorders>
            <w:shd w:val="clear" w:color="auto" w:fill="auto"/>
            <w:vAlign w:val="center"/>
            <w:hideMark/>
          </w:tcPr>
          <w:p w14:paraId="3E8F777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-1.13%</w:t>
            </w:r>
          </w:p>
        </w:tc>
        <w:tc>
          <w:tcPr>
            <w:tcW w:w="1265" w:type="dxa"/>
            <w:tcBorders>
              <w:top w:val="nil"/>
              <w:left w:val="nil"/>
              <w:bottom w:val="single" w:sz="4" w:space="0" w:color="auto"/>
              <w:right w:val="single" w:sz="4" w:space="0" w:color="auto"/>
            </w:tcBorders>
            <w:shd w:val="clear" w:color="000000" w:fill="D9D9D9"/>
            <w:vAlign w:val="center"/>
            <w:hideMark/>
          </w:tcPr>
          <w:p w14:paraId="20E7A5D8"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0.065</w:t>
            </w:r>
          </w:p>
        </w:tc>
      </w:tr>
      <w:tr w:rsidR="000F78F1" w:rsidRPr="000F78F1" w14:paraId="4F658E6A"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20A83103"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Strategy and Performance</w:t>
            </w:r>
          </w:p>
        </w:tc>
        <w:tc>
          <w:tcPr>
            <w:tcW w:w="1343" w:type="dxa"/>
            <w:tcBorders>
              <w:top w:val="nil"/>
              <w:left w:val="nil"/>
              <w:bottom w:val="single" w:sz="8" w:space="0" w:color="auto"/>
              <w:right w:val="single" w:sz="4" w:space="0" w:color="auto"/>
            </w:tcBorders>
            <w:shd w:val="clear" w:color="000000" w:fill="D9D9D9"/>
            <w:vAlign w:val="center"/>
            <w:hideMark/>
          </w:tcPr>
          <w:p w14:paraId="6F6CFA2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33.706</w:t>
            </w:r>
          </w:p>
        </w:tc>
        <w:tc>
          <w:tcPr>
            <w:tcW w:w="1052" w:type="dxa"/>
            <w:tcBorders>
              <w:top w:val="nil"/>
              <w:left w:val="nil"/>
              <w:bottom w:val="single" w:sz="8" w:space="0" w:color="auto"/>
              <w:right w:val="single" w:sz="4" w:space="0" w:color="auto"/>
            </w:tcBorders>
            <w:shd w:val="clear" w:color="000000" w:fill="D9D9D9"/>
            <w:vAlign w:val="center"/>
            <w:hideMark/>
          </w:tcPr>
          <w:p w14:paraId="42C5C7F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34.666</w:t>
            </w:r>
          </w:p>
        </w:tc>
        <w:tc>
          <w:tcPr>
            <w:tcW w:w="1085" w:type="dxa"/>
            <w:tcBorders>
              <w:top w:val="nil"/>
              <w:left w:val="nil"/>
              <w:bottom w:val="single" w:sz="8" w:space="0" w:color="auto"/>
              <w:right w:val="single" w:sz="4" w:space="0" w:color="auto"/>
            </w:tcBorders>
            <w:shd w:val="clear" w:color="000000" w:fill="D9D9D9"/>
            <w:vAlign w:val="center"/>
            <w:hideMark/>
          </w:tcPr>
          <w:p w14:paraId="38953D4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0.960</w:t>
            </w:r>
          </w:p>
        </w:tc>
        <w:tc>
          <w:tcPr>
            <w:tcW w:w="1032" w:type="dxa"/>
            <w:tcBorders>
              <w:top w:val="nil"/>
              <w:left w:val="nil"/>
              <w:bottom w:val="single" w:sz="8" w:space="0" w:color="auto"/>
              <w:right w:val="single" w:sz="4" w:space="0" w:color="auto"/>
            </w:tcBorders>
            <w:shd w:val="clear" w:color="000000" w:fill="D9D9D9"/>
            <w:vAlign w:val="center"/>
            <w:hideMark/>
          </w:tcPr>
          <w:p w14:paraId="505B970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2.85%</w:t>
            </w:r>
          </w:p>
        </w:tc>
        <w:tc>
          <w:tcPr>
            <w:tcW w:w="1265" w:type="dxa"/>
            <w:tcBorders>
              <w:top w:val="nil"/>
              <w:left w:val="nil"/>
              <w:bottom w:val="single" w:sz="8" w:space="0" w:color="auto"/>
              <w:right w:val="single" w:sz="4" w:space="0" w:color="auto"/>
            </w:tcBorders>
            <w:shd w:val="clear" w:color="000000" w:fill="D9D9D9"/>
            <w:vAlign w:val="center"/>
            <w:hideMark/>
          </w:tcPr>
          <w:p w14:paraId="64BD5B5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1.983</w:t>
            </w:r>
          </w:p>
        </w:tc>
      </w:tr>
      <w:tr w:rsidR="000F78F1" w:rsidRPr="000F78F1" w14:paraId="646506E0"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06155DBD"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7CB9DE58"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0193C92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1D97FE3C"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6B011851"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240EBC9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2B1F96C1"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12C5B76A"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Coroners Service</w:t>
            </w:r>
          </w:p>
        </w:tc>
        <w:tc>
          <w:tcPr>
            <w:tcW w:w="1343" w:type="dxa"/>
            <w:tcBorders>
              <w:top w:val="nil"/>
              <w:left w:val="nil"/>
              <w:bottom w:val="single" w:sz="4" w:space="0" w:color="auto"/>
              <w:right w:val="single" w:sz="4" w:space="0" w:color="auto"/>
            </w:tcBorders>
            <w:shd w:val="clear" w:color="auto" w:fill="auto"/>
            <w:vAlign w:val="center"/>
            <w:hideMark/>
          </w:tcPr>
          <w:p w14:paraId="461A108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2.441</w:t>
            </w:r>
          </w:p>
        </w:tc>
        <w:tc>
          <w:tcPr>
            <w:tcW w:w="1052" w:type="dxa"/>
            <w:tcBorders>
              <w:top w:val="nil"/>
              <w:left w:val="nil"/>
              <w:bottom w:val="single" w:sz="4" w:space="0" w:color="auto"/>
              <w:right w:val="single" w:sz="4" w:space="0" w:color="auto"/>
            </w:tcBorders>
            <w:shd w:val="clear" w:color="auto" w:fill="auto"/>
            <w:vAlign w:val="center"/>
            <w:hideMark/>
          </w:tcPr>
          <w:p w14:paraId="70F925F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2.568</w:t>
            </w:r>
          </w:p>
        </w:tc>
        <w:tc>
          <w:tcPr>
            <w:tcW w:w="1085" w:type="dxa"/>
            <w:tcBorders>
              <w:top w:val="nil"/>
              <w:left w:val="nil"/>
              <w:bottom w:val="single" w:sz="4" w:space="0" w:color="auto"/>
              <w:right w:val="single" w:sz="4" w:space="0" w:color="auto"/>
            </w:tcBorders>
            <w:shd w:val="clear" w:color="000000" w:fill="D9D9D9"/>
            <w:vAlign w:val="center"/>
            <w:hideMark/>
          </w:tcPr>
          <w:p w14:paraId="2133736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0.127</w:t>
            </w:r>
          </w:p>
        </w:tc>
        <w:tc>
          <w:tcPr>
            <w:tcW w:w="1032" w:type="dxa"/>
            <w:tcBorders>
              <w:top w:val="nil"/>
              <w:left w:val="nil"/>
              <w:bottom w:val="single" w:sz="4" w:space="0" w:color="auto"/>
              <w:right w:val="single" w:sz="4" w:space="0" w:color="auto"/>
            </w:tcBorders>
            <w:shd w:val="clear" w:color="auto" w:fill="auto"/>
            <w:vAlign w:val="center"/>
            <w:hideMark/>
          </w:tcPr>
          <w:p w14:paraId="4DDE8F6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5.20%</w:t>
            </w:r>
          </w:p>
        </w:tc>
        <w:tc>
          <w:tcPr>
            <w:tcW w:w="1265" w:type="dxa"/>
            <w:tcBorders>
              <w:top w:val="nil"/>
              <w:left w:val="nil"/>
              <w:bottom w:val="single" w:sz="4" w:space="0" w:color="auto"/>
              <w:right w:val="single" w:sz="4" w:space="0" w:color="auto"/>
            </w:tcBorders>
            <w:shd w:val="clear" w:color="000000" w:fill="D9D9D9"/>
            <w:vAlign w:val="center"/>
            <w:hideMark/>
          </w:tcPr>
          <w:p w14:paraId="6E2F6416"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0.037</w:t>
            </w:r>
          </w:p>
        </w:tc>
      </w:tr>
      <w:tr w:rsidR="000F78F1" w:rsidRPr="000F78F1" w14:paraId="4A55635A"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5E74034"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Legal Governance and Registrars</w:t>
            </w:r>
          </w:p>
        </w:tc>
        <w:tc>
          <w:tcPr>
            <w:tcW w:w="1343" w:type="dxa"/>
            <w:tcBorders>
              <w:top w:val="nil"/>
              <w:left w:val="nil"/>
              <w:bottom w:val="single" w:sz="4" w:space="0" w:color="auto"/>
              <w:right w:val="single" w:sz="4" w:space="0" w:color="auto"/>
            </w:tcBorders>
            <w:shd w:val="clear" w:color="auto" w:fill="auto"/>
            <w:vAlign w:val="center"/>
            <w:hideMark/>
          </w:tcPr>
          <w:p w14:paraId="4396FFC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15.488</w:t>
            </w:r>
          </w:p>
        </w:tc>
        <w:tc>
          <w:tcPr>
            <w:tcW w:w="1052" w:type="dxa"/>
            <w:tcBorders>
              <w:top w:val="nil"/>
              <w:left w:val="nil"/>
              <w:bottom w:val="single" w:sz="4" w:space="0" w:color="auto"/>
              <w:right w:val="single" w:sz="4" w:space="0" w:color="auto"/>
            </w:tcBorders>
            <w:shd w:val="clear" w:color="auto" w:fill="auto"/>
            <w:vAlign w:val="center"/>
            <w:hideMark/>
          </w:tcPr>
          <w:p w14:paraId="12DF5CE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15.672</w:t>
            </w:r>
          </w:p>
        </w:tc>
        <w:tc>
          <w:tcPr>
            <w:tcW w:w="1085" w:type="dxa"/>
            <w:tcBorders>
              <w:top w:val="nil"/>
              <w:left w:val="nil"/>
              <w:bottom w:val="single" w:sz="4" w:space="0" w:color="auto"/>
              <w:right w:val="single" w:sz="4" w:space="0" w:color="auto"/>
            </w:tcBorders>
            <w:shd w:val="clear" w:color="000000" w:fill="D9D9D9"/>
            <w:vAlign w:val="center"/>
            <w:hideMark/>
          </w:tcPr>
          <w:p w14:paraId="1DFC853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0.184</w:t>
            </w:r>
          </w:p>
        </w:tc>
        <w:tc>
          <w:tcPr>
            <w:tcW w:w="1032" w:type="dxa"/>
            <w:tcBorders>
              <w:top w:val="nil"/>
              <w:left w:val="nil"/>
              <w:bottom w:val="single" w:sz="4" w:space="0" w:color="auto"/>
              <w:right w:val="single" w:sz="4" w:space="0" w:color="auto"/>
            </w:tcBorders>
            <w:shd w:val="clear" w:color="auto" w:fill="auto"/>
            <w:vAlign w:val="center"/>
            <w:hideMark/>
          </w:tcPr>
          <w:p w14:paraId="7B8FE473"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1.19%</w:t>
            </w:r>
          </w:p>
        </w:tc>
        <w:tc>
          <w:tcPr>
            <w:tcW w:w="1265" w:type="dxa"/>
            <w:tcBorders>
              <w:top w:val="nil"/>
              <w:left w:val="nil"/>
              <w:bottom w:val="single" w:sz="4" w:space="0" w:color="auto"/>
              <w:right w:val="single" w:sz="4" w:space="0" w:color="auto"/>
            </w:tcBorders>
            <w:shd w:val="clear" w:color="000000" w:fill="D9D9D9"/>
            <w:vAlign w:val="center"/>
            <w:hideMark/>
          </w:tcPr>
          <w:p w14:paraId="5A3BFC92"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0.726</w:t>
            </w:r>
          </w:p>
        </w:tc>
      </w:tr>
      <w:tr w:rsidR="000F78F1" w:rsidRPr="000F78F1" w14:paraId="28931BA5"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48D14644"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Corporate Services</w:t>
            </w:r>
          </w:p>
        </w:tc>
        <w:tc>
          <w:tcPr>
            <w:tcW w:w="1343" w:type="dxa"/>
            <w:tcBorders>
              <w:top w:val="nil"/>
              <w:left w:val="nil"/>
              <w:bottom w:val="single" w:sz="8" w:space="0" w:color="auto"/>
              <w:right w:val="single" w:sz="4" w:space="0" w:color="auto"/>
            </w:tcBorders>
            <w:shd w:val="clear" w:color="000000" w:fill="D9D9D9"/>
            <w:vAlign w:val="center"/>
            <w:hideMark/>
          </w:tcPr>
          <w:p w14:paraId="1F817EF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17.929</w:t>
            </w:r>
          </w:p>
        </w:tc>
        <w:tc>
          <w:tcPr>
            <w:tcW w:w="1052" w:type="dxa"/>
            <w:tcBorders>
              <w:top w:val="nil"/>
              <w:left w:val="nil"/>
              <w:bottom w:val="single" w:sz="8" w:space="0" w:color="auto"/>
              <w:right w:val="single" w:sz="4" w:space="0" w:color="auto"/>
            </w:tcBorders>
            <w:shd w:val="clear" w:color="000000" w:fill="D9D9D9"/>
            <w:vAlign w:val="center"/>
            <w:hideMark/>
          </w:tcPr>
          <w:p w14:paraId="45F1730C"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18.240</w:t>
            </w:r>
          </w:p>
        </w:tc>
        <w:tc>
          <w:tcPr>
            <w:tcW w:w="1085" w:type="dxa"/>
            <w:tcBorders>
              <w:top w:val="nil"/>
              <w:left w:val="nil"/>
              <w:bottom w:val="single" w:sz="8" w:space="0" w:color="auto"/>
              <w:right w:val="single" w:sz="4" w:space="0" w:color="auto"/>
            </w:tcBorders>
            <w:shd w:val="clear" w:color="000000" w:fill="D9D9D9"/>
            <w:vAlign w:val="center"/>
            <w:hideMark/>
          </w:tcPr>
          <w:p w14:paraId="5AD7639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0.311</w:t>
            </w:r>
          </w:p>
        </w:tc>
        <w:tc>
          <w:tcPr>
            <w:tcW w:w="1032" w:type="dxa"/>
            <w:tcBorders>
              <w:top w:val="nil"/>
              <w:left w:val="nil"/>
              <w:bottom w:val="single" w:sz="8" w:space="0" w:color="auto"/>
              <w:right w:val="single" w:sz="4" w:space="0" w:color="auto"/>
            </w:tcBorders>
            <w:shd w:val="clear" w:color="000000" w:fill="D9D9D9"/>
            <w:vAlign w:val="center"/>
            <w:hideMark/>
          </w:tcPr>
          <w:p w14:paraId="14151FC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1.73%</w:t>
            </w:r>
          </w:p>
        </w:tc>
        <w:tc>
          <w:tcPr>
            <w:tcW w:w="1265" w:type="dxa"/>
            <w:tcBorders>
              <w:top w:val="nil"/>
              <w:left w:val="nil"/>
              <w:bottom w:val="single" w:sz="8" w:space="0" w:color="auto"/>
              <w:right w:val="single" w:sz="4" w:space="0" w:color="auto"/>
            </w:tcBorders>
            <w:shd w:val="clear" w:color="000000" w:fill="D9D9D9"/>
            <w:vAlign w:val="center"/>
            <w:hideMark/>
          </w:tcPr>
          <w:p w14:paraId="096FFEEA"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0.763</w:t>
            </w:r>
          </w:p>
        </w:tc>
      </w:tr>
      <w:tr w:rsidR="000F78F1" w:rsidRPr="000F78F1" w14:paraId="4D41FCF8"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2E984B1B"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23860D32"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68B50E74"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04F8697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48F1936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76AFB1B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7BBF92A4"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7928C2F"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Programme Office</w:t>
            </w:r>
          </w:p>
        </w:tc>
        <w:tc>
          <w:tcPr>
            <w:tcW w:w="1343" w:type="dxa"/>
            <w:tcBorders>
              <w:top w:val="nil"/>
              <w:left w:val="nil"/>
              <w:bottom w:val="single" w:sz="4" w:space="0" w:color="auto"/>
              <w:right w:val="single" w:sz="4" w:space="0" w:color="auto"/>
            </w:tcBorders>
            <w:shd w:val="clear" w:color="auto" w:fill="auto"/>
            <w:vAlign w:val="center"/>
            <w:hideMark/>
          </w:tcPr>
          <w:p w14:paraId="4C18DBF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1.222</w:t>
            </w:r>
          </w:p>
        </w:tc>
        <w:tc>
          <w:tcPr>
            <w:tcW w:w="1052" w:type="dxa"/>
            <w:tcBorders>
              <w:top w:val="nil"/>
              <w:left w:val="nil"/>
              <w:bottom w:val="single" w:sz="4" w:space="0" w:color="auto"/>
              <w:right w:val="single" w:sz="4" w:space="0" w:color="auto"/>
            </w:tcBorders>
            <w:shd w:val="clear" w:color="auto" w:fill="auto"/>
            <w:vAlign w:val="center"/>
            <w:hideMark/>
          </w:tcPr>
          <w:p w14:paraId="70BB53F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1.108</w:t>
            </w:r>
          </w:p>
        </w:tc>
        <w:tc>
          <w:tcPr>
            <w:tcW w:w="1085" w:type="dxa"/>
            <w:tcBorders>
              <w:top w:val="nil"/>
              <w:left w:val="nil"/>
              <w:bottom w:val="single" w:sz="4" w:space="0" w:color="auto"/>
              <w:right w:val="single" w:sz="4" w:space="0" w:color="auto"/>
            </w:tcBorders>
            <w:shd w:val="clear" w:color="000000" w:fill="D9D9D9"/>
            <w:vAlign w:val="center"/>
            <w:hideMark/>
          </w:tcPr>
          <w:p w14:paraId="5D921921"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-0.114</w:t>
            </w:r>
          </w:p>
        </w:tc>
        <w:tc>
          <w:tcPr>
            <w:tcW w:w="1032" w:type="dxa"/>
            <w:tcBorders>
              <w:top w:val="nil"/>
              <w:left w:val="nil"/>
              <w:bottom w:val="single" w:sz="4" w:space="0" w:color="auto"/>
              <w:right w:val="single" w:sz="4" w:space="0" w:color="auto"/>
            </w:tcBorders>
            <w:shd w:val="clear" w:color="auto" w:fill="auto"/>
            <w:vAlign w:val="center"/>
            <w:hideMark/>
          </w:tcPr>
          <w:p w14:paraId="48DAE98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-9.33%</w:t>
            </w:r>
          </w:p>
        </w:tc>
        <w:tc>
          <w:tcPr>
            <w:tcW w:w="1265" w:type="dxa"/>
            <w:tcBorders>
              <w:top w:val="nil"/>
              <w:left w:val="nil"/>
              <w:bottom w:val="single" w:sz="4" w:space="0" w:color="auto"/>
              <w:right w:val="single" w:sz="4" w:space="0" w:color="auto"/>
            </w:tcBorders>
            <w:shd w:val="clear" w:color="000000" w:fill="D9D9D9"/>
            <w:vAlign w:val="center"/>
            <w:hideMark/>
          </w:tcPr>
          <w:p w14:paraId="113D67B0"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-0.079</w:t>
            </w:r>
          </w:p>
        </w:tc>
      </w:tr>
      <w:tr w:rsidR="000F78F1" w:rsidRPr="000F78F1" w14:paraId="555E4E7D"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7F699742"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Organisational Development</w:t>
            </w:r>
          </w:p>
        </w:tc>
        <w:tc>
          <w:tcPr>
            <w:tcW w:w="1343" w:type="dxa"/>
            <w:tcBorders>
              <w:top w:val="nil"/>
              <w:left w:val="nil"/>
              <w:bottom w:val="single" w:sz="4" w:space="0" w:color="auto"/>
              <w:right w:val="single" w:sz="4" w:space="0" w:color="auto"/>
            </w:tcBorders>
            <w:shd w:val="clear" w:color="auto" w:fill="auto"/>
            <w:vAlign w:val="center"/>
            <w:hideMark/>
          </w:tcPr>
          <w:p w14:paraId="10DCBE9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0.700</w:t>
            </w:r>
          </w:p>
        </w:tc>
        <w:tc>
          <w:tcPr>
            <w:tcW w:w="1052" w:type="dxa"/>
            <w:tcBorders>
              <w:top w:val="nil"/>
              <w:left w:val="nil"/>
              <w:bottom w:val="single" w:sz="4" w:space="0" w:color="auto"/>
              <w:right w:val="single" w:sz="4" w:space="0" w:color="auto"/>
            </w:tcBorders>
            <w:shd w:val="clear" w:color="auto" w:fill="auto"/>
            <w:vAlign w:val="center"/>
            <w:hideMark/>
          </w:tcPr>
          <w:p w14:paraId="7F881A7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0.712</w:t>
            </w:r>
          </w:p>
        </w:tc>
        <w:tc>
          <w:tcPr>
            <w:tcW w:w="1085" w:type="dxa"/>
            <w:tcBorders>
              <w:top w:val="nil"/>
              <w:left w:val="nil"/>
              <w:bottom w:val="single" w:sz="4" w:space="0" w:color="auto"/>
              <w:right w:val="single" w:sz="4" w:space="0" w:color="auto"/>
            </w:tcBorders>
            <w:shd w:val="clear" w:color="000000" w:fill="D9D9D9"/>
            <w:vAlign w:val="center"/>
            <w:hideMark/>
          </w:tcPr>
          <w:p w14:paraId="236D2EB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0.012</w:t>
            </w:r>
          </w:p>
        </w:tc>
        <w:tc>
          <w:tcPr>
            <w:tcW w:w="1032" w:type="dxa"/>
            <w:tcBorders>
              <w:top w:val="nil"/>
              <w:left w:val="nil"/>
              <w:bottom w:val="single" w:sz="4" w:space="0" w:color="auto"/>
              <w:right w:val="single" w:sz="4" w:space="0" w:color="auto"/>
            </w:tcBorders>
            <w:shd w:val="clear" w:color="auto" w:fill="auto"/>
            <w:vAlign w:val="center"/>
            <w:hideMark/>
          </w:tcPr>
          <w:p w14:paraId="2EA6CFE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1.71%</w:t>
            </w:r>
          </w:p>
        </w:tc>
        <w:tc>
          <w:tcPr>
            <w:tcW w:w="1265" w:type="dxa"/>
            <w:tcBorders>
              <w:top w:val="nil"/>
              <w:left w:val="nil"/>
              <w:bottom w:val="single" w:sz="4" w:space="0" w:color="auto"/>
              <w:right w:val="single" w:sz="4" w:space="0" w:color="auto"/>
            </w:tcBorders>
            <w:shd w:val="clear" w:color="000000" w:fill="D9D9D9"/>
            <w:vAlign w:val="center"/>
            <w:hideMark/>
          </w:tcPr>
          <w:p w14:paraId="50833A3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5F87E192"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1DF5F5D1"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Organisational Development and Change</w:t>
            </w:r>
          </w:p>
        </w:tc>
        <w:tc>
          <w:tcPr>
            <w:tcW w:w="1343" w:type="dxa"/>
            <w:tcBorders>
              <w:top w:val="nil"/>
              <w:left w:val="nil"/>
              <w:bottom w:val="single" w:sz="8" w:space="0" w:color="auto"/>
              <w:right w:val="single" w:sz="4" w:space="0" w:color="auto"/>
            </w:tcBorders>
            <w:shd w:val="clear" w:color="000000" w:fill="D9D9D9"/>
            <w:vAlign w:val="center"/>
            <w:hideMark/>
          </w:tcPr>
          <w:p w14:paraId="7FE415AF"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1.922</w:t>
            </w:r>
          </w:p>
        </w:tc>
        <w:tc>
          <w:tcPr>
            <w:tcW w:w="1052" w:type="dxa"/>
            <w:tcBorders>
              <w:top w:val="nil"/>
              <w:left w:val="nil"/>
              <w:bottom w:val="single" w:sz="8" w:space="0" w:color="auto"/>
              <w:right w:val="single" w:sz="4" w:space="0" w:color="auto"/>
            </w:tcBorders>
            <w:shd w:val="clear" w:color="000000" w:fill="D9D9D9"/>
            <w:vAlign w:val="center"/>
            <w:hideMark/>
          </w:tcPr>
          <w:p w14:paraId="6C20D4B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1.820</w:t>
            </w:r>
          </w:p>
        </w:tc>
        <w:tc>
          <w:tcPr>
            <w:tcW w:w="1085" w:type="dxa"/>
            <w:tcBorders>
              <w:top w:val="nil"/>
              <w:left w:val="nil"/>
              <w:bottom w:val="single" w:sz="8" w:space="0" w:color="auto"/>
              <w:right w:val="single" w:sz="4" w:space="0" w:color="auto"/>
            </w:tcBorders>
            <w:shd w:val="clear" w:color="000000" w:fill="D9D9D9"/>
            <w:vAlign w:val="center"/>
            <w:hideMark/>
          </w:tcPr>
          <w:p w14:paraId="428D009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-0.102</w:t>
            </w:r>
          </w:p>
        </w:tc>
        <w:tc>
          <w:tcPr>
            <w:tcW w:w="1032" w:type="dxa"/>
            <w:tcBorders>
              <w:top w:val="nil"/>
              <w:left w:val="nil"/>
              <w:bottom w:val="single" w:sz="8" w:space="0" w:color="auto"/>
              <w:right w:val="single" w:sz="4" w:space="0" w:color="auto"/>
            </w:tcBorders>
            <w:shd w:val="clear" w:color="000000" w:fill="D9D9D9"/>
            <w:vAlign w:val="center"/>
            <w:hideMark/>
          </w:tcPr>
          <w:p w14:paraId="365C7CCB"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-5.31%</w:t>
            </w:r>
          </w:p>
        </w:tc>
        <w:tc>
          <w:tcPr>
            <w:tcW w:w="1265" w:type="dxa"/>
            <w:tcBorders>
              <w:top w:val="nil"/>
              <w:left w:val="nil"/>
              <w:bottom w:val="single" w:sz="8" w:space="0" w:color="auto"/>
              <w:right w:val="single" w:sz="4" w:space="0" w:color="auto"/>
            </w:tcBorders>
            <w:shd w:val="clear" w:color="000000" w:fill="D9D9D9"/>
            <w:vAlign w:val="center"/>
            <w:hideMark/>
          </w:tcPr>
          <w:p w14:paraId="152C4CB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-0.079</w:t>
            </w:r>
          </w:p>
        </w:tc>
      </w:tr>
      <w:tr w:rsidR="000F78F1" w:rsidRPr="000F78F1" w14:paraId="01F12246"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7AE576C0"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5009A659"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1D3F954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2B4D87D3"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58607FBE"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091190EA"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682FAFB5" w14:textId="77777777" w:rsidTr="00C11DAC">
        <w:trPr>
          <w:trHeight w:val="272"/>
        </w:trPr>
        <w:tc>
          <w:tcPr>
            <w:tcW w:w="390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ABC92ED"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Human Resources</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4F5D4A1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2.320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8F13E5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2.090</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69F1301F"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-0.230</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4D00F0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-9.91%</w:t>
            </w:r>
          </w:p>
        </w:tc>
        <w:tc>
          <w:tcPr>
            <w:tcW w:w="1265" w:type="dxa"/>
            <w:tcBorders>
              <w:top w:val="single" w:sz="4" w:space="0" w:color="auto"/>
              <w:left w:val="nil"/>
              <w:bottom w:val="single" w:sz="4" w:space="0" w:color="auto"/>
              <w:right w:val="single" w:sz="4" w:space="0" w:color="auto"/>
            </w:tcBorders>
            <w:shd w:val="clear" w:color="000000" w:fill="D9D9D9"/>
            <w:vAlign w:val="center"/>
            <w:hideMark/>
          </w:tcPr>
          <w:p w14:paraId="1CDD1307"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-0.014</w:t>
            </w:r>
          </w:p>
        </w:tc>
      </w:tr>
      <w:tr w:rsidR="000F78F1" w:rsidRPr="000F78F1" w14:paraId="5B4430C9" w14:textId="77777777" w:rsidTr="00C11DAC">
        <w:trPr>
          <w:trHeight w:val="272"/>
        </w:trPr>
        <w:tc>
          <w:tcPr>
            <w:tcW w:w="3903" w:type="dxa"/>
            <w:tcBorders>
              <w:top w:val="nil"/>
              <w:left w:val="single" w:sz="8" w:space="0" w:color="auto"/>
              <w:bottom w:val="single" w:sz="4" w:space="0" w:color="auto"/>
              <w:right w:val="single" w:sz="4" w:space="0" w:color="auto"/>
            </w:tcBorders>
            <w:shd w:val="clear" w:color="000000" w:fill="D9D9D9"/>
            <w:vAlign w:val="center"/>
            <w:hideMark/>
          </w:tcPr>
          <w:p w14:paraId="0874AD7D"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Skills, Learning and Development</w:t>
            </w:r>
          </w:p>
        </w:tc>
        <w:tc>
          <w:tcPr>
            <w:tcW w:w="1343" w:type="dxa"/>
            <w:tcBorders>
              <w:top w:val="nil"/>
              <w:left w:val="nil"/>
              <w:bottom w:val="single" w:sz="4" w:space="0" w:color="auto"/>
              <w:right w:val="single" w:sz="4" w:space="0" w:color="auto"/>
            </w:tcBorders>
            <w:shd w:val="clear" w:color="auto" w:fill="auto"/>
            <w:vAlign w:val="center"/>
            <w:hideMark/>
          </w:tcPr>
          <w:p w14:paraId="7F305C1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3.000</w:t>
            </w:r>
          </w:p>
        </w:tc>
        <w:tc>
          <w:tcPr>
            <w:tcW w:w="1052" w:type="dxa"/>
            <w:tcBorders>
              <w:top w:val="nil"/>
              <w:left w:val="nil"/>
              <w:bottom w:val="single" w:sz="4" w:space="0" w:color="auto"/>
              <w:right w:val="single" w:sz="4" w:space="0" w:color="auto"/>
            </w:tcBorders>
            <w:shd w:val="clear" w:color="auto" w:fill="auto"/>
            <w:vAlign w:val="center"/>
            <w:hideMark/>
          </w:tcPr>
          <w:p w14:paraId="7D4ABE3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2.998</w:t>
            </w:r>
          </w:p>
        </w:tc>
        <w:tc>
          <w:tcPr>
            <w:tcW w:w="1085" w:type="dxa"/>
            <w:tcBorders>
              <w:top w:val="nil"/>
              <w:left w:val="nil"/>
              <w:bottom w:val="single" w:sz="4" w:space="0" w:color="auto"/>
              <w:right w:val="single" w:sz="4" w:space="0" w:color="auto"/>
            </w:tcBorders>
            <w:shd w:val="clear" w:color="000000" w:fill="D9D9D9"/>
            <w:vAlign w:val="center"/>
            <w:hideMark/>
          </w:tcPr>
          <w:p w14:paraId="3770439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-0.002</w:t>
            </w:r>
          </w:p>
        </w:tc>
        <w:tc>
          <w:tcPr>
            <w:tcW w:w="1032" w:type="dxa"/>
            <w:tcBorders>
              <w:top w:val="nil"/>
              <w:left w:val="nil"/>
              <w:bottom w:val="single" w:sz="4" w:space="0" w:color="auto"/>
              <w:right w:val="single" w:sz="4" w:space="0" w:color="auto"/>
            </w:tcBorders>
            <w:shd w:val="clear" w:color="auto" w:fill="auto"/>
            <w:vAlign w:val="center"/>
            <w:hideMark/>
          </w:tcPr>
          <w:p w14:paraId="68DD91D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-0.07%</w:t>
            </w:r>
          </w:p>
        </w:tc>
        <w:tc>
          <w:tcPr>
            <w:tcW w:w="1265" w:type="dxa"/>
            <w:tcBorders>
              <w:top w:val="nil"/>
              <w:left w:val="nil"/>
              <w:bottom w:val="single" w:sz="4" w:space="0" w:color="auto"/>
              <w:right w:val="single" w:sz="4" w:space="0" w:color="auto"/>
            </w:tcBorders>
            <w:shd w:val="clear" w:color="000000" w:fill="D9D9D9"/>
            <w:vAlign w:val="center"/>
            <w:hideMark/>
          </w:tcPr>
          <w:p w14:paraId="17315986"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2990E39E"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62107751"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People Services</w:t>
            </w:r>
          </w:p>
        </w:tc>
        <w:tc>
          <w:tcPr>
            <w:tcW w:w="1343" w:type="dxa"/>
            <w:tcBorders>
              <w:top w:val="nil"/>
              <w:left w:val="nil"/>
              <w:bottom w:val="single" w:sz="8" w:space="0" w:color="auto"/>
              <w:right w:val="single" w:sz="4" w:space="0" w:color="auto"/>
            </w:tcBorders>
            <w:shd w:val="clear" w:color="000000" w:fill="D9D9D9"/>
            <w:vAlign w:val="center"/>
            <w:hideMark/>
          </w:tcPr>
          <w:p w14:paraId="2CBE58A3"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5.320</w:t>
            </w:r>
          </w:p>
        </w:tc>
        <w:tc>
          <w:tcPr>
            <w:tcW w:w="1052" w:type="dxa"/>
            <w:tcBorders>
              <w:top w:val="nil"/>
              <w:left w:val="nil"/>
              <w:bottom w:val="single" w:sz="8" w:space="0" w:color="auto"/>
              <w:right w:val="single" w:sz="4" w:space="0" w:color="auto"/>
            </w:tcBorders>
            <w:shd w:val="clear" w:color="000000" w:fill="D9D9D9"/>
            <w:vAlign w:val="center"/>
            <w:hideMark/>
          </w:tcPr>
          <w:p w14:paraId="1D5B228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5.088</w:t>
            </w:r>
          </w:p>
        </w:tc>
        <w:tc>
          <w:tcPr>
            <w:tcW w:w="1085" w:type="dxa"/>
            <w:tcBorders>
              <w:top w:val="nil"/>
              <w:left w:val="nil"/>
              <w:bottom w:val="single" w:sz="8" w:space="0" w:color="auto"/>
              <w:right w:val="single" w:sz="4" w:space="0" w:color="auto"/>
            </w:tcBorders>
            <w:shd w:val="clear" w:color="000000" w:fill="D9D9D9"/>
            <w:vAlign w:val="center"/>
            <w:hideMark/>
          </w:tcPr>
          <w:p w14:paraId="4C479F0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-0.232</w:t>
            </w:r>
          </w:p>
        </w:tc>
        <w:tc>
          <w:tcPr>
            <w:tcW w:w="1032" w:type="dxa"/>
            <w:tcBorders>
              <w:top w:val="nil"/>
              <w:left w:val="nil"/>
              <w:bottom w:val="single" w:sz="8" w:space="0" w:color="auto"/>
              <w:right w:val="single" w:sz="4" w:space="0" w:color="auto"/>
            </w:tcBorders>
            <w:shd w:val="clear" w:color="000000" w:fill="D9D9D9"/>
            <w:vAlign w:val="center"/>
            <w:hideMark/>
          </w:tcPr>
          <w:p w14:paraId="72ACCC85"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-4.36%</w:t>
            </w:r>
          </w:p>
        </w:tc>
        <w:tc>
          <w:tcPr>
            <w:tcW w:w="1265" w:type="dxa"/>
            <w:tcBorders>
              <w:top w:val="nil"/>
              <w:left w:val="nil"/>
              <w:bottom w:val="single" w:sz="8" w:space="0" w:color="auto"/>
              <w:right w:val="single" w:sz="4" w:space="0" w:color="auto"/>
            </w:tcBorders>
            <w:shd w:val="clear" w:color="000000" w:fill="D9D9D9"/>
            <w:vAlign w:val="center"/>
            <w:hideMark/>
          </w:tcPr>
          <w:p w14:paraId="6A2F099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-0.014</w:t>
            </w:r>
          </w:p>
        </w:tc>
      </w:tr>
      <w:tr w:rsidR="000F78F1" w:rsidRPr="000F78F1" w14:paraId="3EB8EB4F"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3678E97C"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57A1FFA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7CD9A00D"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43DE12A0"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397D605D"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19E69A44"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2D766D7F" w14:textId="77777777" w:rsidTr="00C11DAC">
        <w:trPr>
          <w:trHeight w:val="272"/>
        </w:trPr>
        <w:tc>
          <w:tcPr>
            <w:tcW w:w="390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7280FE9"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Communications</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36F75229"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1.340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917B3A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1.135</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2D54EA5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-0.205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2DADB935"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-15.30%</w:t>
            </w:r>
          </w:p>
        </w:tc>
        <w:tc>
          <w:tcPr>
            <w:tcW w:w="1265" w:type="dxa"/>
            <w:tcBorders>
              <w:top w:val="single" w:sz="4" w:space="0" w:color="auto"/>
              <w:left w:val="nil"/>
              <w:bottom w:val="single" w:sz="4" w:space="0" w:color="auto"/>
              <w:right w:val="single" w:sz="4" w:space="0" w:color="auto"/>
            </w:tcBorders>
            <w:shd w:val="clear" w:color="000000" w:fill="D9D9D9"/>
            <w:vAlign w:val="center"/>
            <w:hideMark/>
          </w:tcPr>
          <w:p w14:paraId="7CA6FE4B"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0.016</w:t>
            </w:r>
          </w:p>
        </w:tc>
      </w:tr>
      <w:tr w:rsidR="000F78F1" w:rsidRPr="000F78F1" w14:paraId="58F208AE" w14:textId="77777777" w:rsidTr="00C11DAC">
        <w:trPr>
          <w:trHeight w:val="286"/>
        </w:trPr>
        <w:tc>
          <w:tcPr>
            <w:tcW w:w="3903" w:type="dxa"/>
            <w:tcBorders>
              <w:top w:val="nil"/>
              <w:left w:val="single" w:sz="8" w:space="0" w:color="auto"/>
              <w:bottom w:val="single" w:sz="8" w:space="0" w:color="auto"/>
              <w:right w:val="single" w:sz="4" w:space="0" w:color="auto"/>
            </w:tcBorders>
            <w:shd w:val="clear" w:color="000000" w:fill="D9D9D9"/>
            <w:vAlign w:val="center"/>
            <w:hideMark/>
          </w:tcPr>
          <w:p w14:paraId="33536A7E"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Communications</w:t>
            </w:r>
          </w:p>
        </w:tc>
        <w:tc>
          <w:tcPr>
            <w:tcW w:w="1343" w:type="dxa"/>
            <w:tcBorders>
              <w:top w:val="nil"/>
              <w:left w:val="nil"/>
              <w:bottom w:val="single" w:sz="8" w:space="0" w:color="auto"/>
              <w:right w:val="single" w:sz="4" w:space="0" w:color="auto"/>
            </w:tcBorders>
            <w:shd w:val="clear" w:color="000000" w:fill="D9D9D9"/>
            <w:vAlign w:val="center"/>
            <w:hideMark/>
          </w:tcPr>
          <w:p w14:paraId="222936F2"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1.340</w:t>
            </w:r>
          </w:p>
        </w:tc>
        <w:tc>
          <w:tcPr>
            <w:tcW w:w="1052" w:type="dxa"/>
            <w:tcBorders>
              <w:top w:val="nil"/>
              <w:left w:val="nil"/>
              <w:bottom w:val="single" w:sz="8" w:space="0" w:color="auto"/>
              <w:right w:val="single" w:sz="4" w:space="0" w:color="auto"/>
            </w:tcBorders>
            <w:shd w:val="clear" w:color="000000" w:fill="D9D9D9"/>
            <w:vAlign w:val="center"/>
            <w:hideMark/>
          </w:tcPr>
          <w:p w14:paraId="222DAD38"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1.135</w:t>
            </w:r>
          </w:p>
        </w:tc>
        <w:tc>
          <w:tcPr>
            <w:tcW w:w="1085" w:type="dxa"/>
            <w:tcBorders>
              <w:top w:val="nil"/>
              <w:left w:val="nil"/>
              <w:bottom w:val="single" w:sz="8" w:space="0" w:color="auto"/>
              <w:right w:val="single" w:sz="4" w:space="0" w:color="auto"/>
            </w:tcBorders>
            <w:shd w:val="clear" w:color="000000" w:fill="D9D9D9"/>
            <w:vAlign w:val="center"/>
            <w:hideMark/>
          </w:tcPr>
          <w:p w14:paraId="4D5B05E0"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-0.205</w:t>
            </w:r>
          </w:p>
        </w:tc>
        <w:tc>
          <w:tcPr>
            <w:tcW w:w="1032" w:type="dxa"/>
            <w:tcBorders>
              <w:top w:val="nil"/>
              <w:left w:val="nil"/>
              <w:bottom w:val="single" w:sz="8" w:space="0" w:color="auto"/>
              <w:right w:val="single" w:sz="4" w:space="0" w:color="auto"/>
            </w:tcBorders>
            <w:shd w:val="clear" w:color="000000" w:fill="D9D9D9"/>
            <w:vAlign w:val="center"/>
            <w:hideMark/>
          </w:tcPr>
          <w:p w14:paraId="37FD359F"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-15.30%</w:t>
            </w:r>
          </w:p>
        </w:tc>
        <w:tc>
          <w:tcPr>
            <w:tcW w:w="1265" w:type="dxa"/>
            <w:tcBorders>
              <w:top w:val="nil"/>
              <w:left w:val="nil"/>
              <w:bottom w:val="single" w:sz="8" w:space="0" w:color="auto"/>
              <w:right w:val="single" w:sz="4" w:space="0" w:color="auto"/>
            </w:tcBorders>
            <w:shd w:val="clear" w:color="000000" w:fill="D9D9D9"/>
            <w:vAlign w:val="center"/>
            <w:hideMark/>
          </w:tcPr>
          <w:p w14:paraId="07FEE70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0.016</w:t>
            </w:r>
          </w:p>
        </w:tc>
      </w:tr>
      <w:tr w:rsidR="000F78F1" w:rsidRPr="000F78F1" w14:paraId="0B9419B3" w14:textId="77777777" w:rsidTr="00C11DAC">
        <w:trPr>
          <w:trHeight w:val="286"/>
        </w:trPr>
        <w:tc>
          <w:tcPr>
            <w:tcW w:w="3903" w:type="dxa"/>
            <w:tcBorders>
              <w:top w:val="nil"/>
              <w:left w:val="single" w:sz="8" w:space="0" w:color="auto"/>
              <w:bottom w:val="single" w:sz="8" w:space="0" w:color="auto"/>
              <w:right w:val="single" w:sz="4" w:space="0" w:color="auto"/>
            </w:tcBorders>
            <w:shd w:val="clear" w:color="auto" w:fill="auto"/>
            <w:vAlign w:val="center"/>
          </w:tcPr>
          <w:p w14:paraId="5843CED4" w14:textId="77777777" w:rsidR="000F78F1" w:rsidRPr="000F78F1" w:rsidRDefault="000F78F1" w:rsidP="000F78F1">
            <w:pPr>
              <w:autoSpaceDE/>
              <w:autoSpaceDN/>
              <w:adjustRightInd/>
              <w:spacing w:after="0"/>
              <w:jc w:val="left"/>
              <w:rPr>
                <w:rFonts w:eastAsia="Times New Roman" w:cs="Arial"/>
                <w:b/>
                <w:bCs/>
                <w:sz w:val="20"/>
                <w:szCs w:val="20"/>
                <w:lang w:eastAsia="en-GB"/>
              </w:rPr>
            </w:pPr>
          </w:p>
        </w:tc>
        <w:tc>
          <w:tcPr>
            <w:tcW w:w="1343" w:type="dxa"/>
            <w:tcBorders>
              <w:top w:val="nil"/>
              <w:left w:val="nil"/>
              <w:bottom w:val="single" w:sz="8" w:space="0" w:color="auto"/>
              <w:right w:val="single" w:sz="4" w:space="0" w:color="auto"/>
            </w:tcBorders>
            <w:shd w:val="clear" w:color="auto" w:fill="auto"/>
            <w:vAlign w:val="center"/>
          </w:tcPr>
          <w:p w14:paraId="3C629021"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52" w:type="dxa"/>
            <w:tcBorders>
              <w:top w:val="nil"/>
              <w:left w:val="nil"/>
              <w:bottom w:val="single" w:sz="8" w:space="0" w:color="auto"/>
              <w:right w:val="single" w:sz="4" w:space="0" w:color="auto"/>
            </w:tcBorders>
            <w:shd w:val="clear" w:color="auto" w:fill="auto"/>
            <w:vAlign w:val="center"/>
          </w:tcPr>
          <w:p w14:paraId="2C401828"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85" w:type="dxa"/>
            <w:tcBorders>
              <w:top w:val="nil"/>
              <w:left w:val="nil"/>
              <w:bottom w:val="single" w:sz="8" w:space="0" w:color="auto"/>
              <w:right w:val="single" w:sz="4" w:space="0" w:color="auto"/>
            </w:tcBorders>
            <w:shd w:val="clear" w:color="auto" w:fill="auto"/>
            <w:vAlign w:val="center"/>
          </w:tcPr>
          <w:p w14:paraId="31EB8C07"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032" w:type="dxa"/>
            <w:tcBorders>
              <w:top w:val="nil"/>
              <w:left w:val="nil"/>
              <w:bottom w:val="single" w:sz="8" w:space="0" w:color="auto"/>
              <w:right w:val="single" w:sz="4" w:space="0" w:color="auto"/>
            </w:tcBorders>
            <w:shd w:val="clear" w:color="auto" w:fill="auto"/>
            <w:vAlign w:val="center"/>
          </w:tcPr>
          <w:p w14:paraId="3467A5A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c>
          <w:tcPr>
            <w:tcW w:w="1265" w:type="dxa"/>
            <w:tcBorders>
              <w:top w:val="nil"/>
              <w:left w:val="nil"/>
              <w:bottom w:val="single" w:sz="8" w:space="0" w:color="auto"/>
              <w:right w:val="single" w:sz="4" w:space="0" w:color="auto"/>
            </w:tcBorders>
            <w:shd w:val="clear" w:color="auto" w:fill="auto"/>
            <w:vAlign w:val="center"/>
          </w:tcPr>
          <w:p w14:paraId="074C0CCF" w14:textId="77777777" w:rsidR="000F78F1" w:rsidRPr="000F78F1" w:rsidRDefault="000F78F1" w:rsidP="000F78F1">
            <w:pPr>
              <w:autoSpaceDE/>
              <w:autoSpaceDN/>
              <w:adjustRightInd/>
              <w:spacing w:after="0"/>
              <w:jc w:val="right"/>
              <w:rPr>
                <w:rFonts w:eastAsia="Times New Roman" w:cs="Arial"/>
                <w:b/>
                <w:bCs/>
                <w:sz w:val="20"/>
                <w:szCs w:val="20"/>
                <w:lang w:eastAsia="en-GB"/>
              </w:rPr>
            </w:pPr>
          </w:p>
        </w:tc>
      </w:tr>
      <w:tr w:rsidR="000F78F1" w:rsidRPr="000F78F1" w14:paraId="335DD4A6" w14:textId="77777777" w:rsidTr="00C11DAC">
        <w:trPr>
          <w:trHeight w:val="286"/>
        </w:trPr>
        <w:tc>
          <w:tcPr>
            <w:tcW w:w="390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4BAA99DB"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Resources</w:t>
            </w:r>
          </w:p>
        </w:tc>
        <w:tc>
          <w:tcPr>
            <w:tcW w:w="1343" w:type="dxa"/>
            <w:tcBorders>
              <w:top w:val="single" w:sz="4" w:space="0" w:color="auto"/>
              <w:left w:val="nil"/>
              <w:bottom w:val="single" w:sz="8" w:space="0" w:color="auto"/>
              <w:right w:val="single" w:sz="4" w:space="0" w:color="auto"/>
            </w:tcBorders>
            <w:shd w:val="clear" w:color="000000" w:fill="D9D9D9"/>
            <w:vAlign w:val="center"/>
            <w:hideMark/>
          </w:tcPr>
          <w:p w14:paraId="6ADD3861"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112.419</w:t>
            </w:r>
          </w:p>
        </w:tc>
        <w:tc>
          <w:tcPr>
            <w:tcW w:w="1052" w:type="dxa"/>
            <w:tcBorders>
              <w:top w:val="single" w:sz="4" w:space="0" w:color="auto"/>
              <w:left w:val="nil"/>
              <w:bottom w:val="single" w:sz="8" w:space="0" w:color="auto"/>
              <w:right w:val="single" w:sz="4" w:space="0" w:color="auto"/>
            </w:tcBorders>
            <w:shd w:val="clear" w:color="000000" w:fill="D9D9D9"/>
            <w:vAlign w:val="center"/>
            <w:hideMark/>
          </w:tcPr>
          <w:p w14:paraId="43C8C891"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111.922</w:t>
            </w:r>
          </w:p>
        </w:tc>
        <w:tc>
          <w:tcPr>
            <w:tcW w:w="1085" w:type="dxa"/>
            <w:tcBorders>
              <w:top w:val="single" w:sz="4" w:space="0" w:color="auto"/>
              <w:left w:val="nil"/>
              <w:bottom w:val="single" w:sz="8" w:space="0" w:color="auto"/>
              <w:right w:val="single" w:sz="4" w:space="0" w:color="auto"/>
            </w:tcBorders>
            <w:shd w:val="clear" w:color="000000" w:fill="D9D9D9"/>
            <w:vAlign w:val="center"/>
            <w:hideMark/>
          </w:tcPr>
          <w:p w14:paraId="08C328BD"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-0.497</w:t>
            </w:r>
          </w:p>
        </w:tc>
        <w:tc>
          <w:tcPr>
            <w:tcW w:w="1032" w:type="dxa"/>
            <w:tcBorders>
              <w:top w:val="single" w:sz="4" w:space="0" w:color="auto"/>
              <w:left w:val="nil"/>
              <w:bottom w:val="single" w:sz="8" w:space="0" w:color="auto"/>
              <w:right w:val="single" w:sz="4" w:space="0" w:color="auto"/>
            </w:tcBorders>
            <w:shd w:val="clear" w:color="000000" w:fill="D9D9D9"/>
            <w:vAlign w:val="center"/>
            <w:hideMark/>
          </w:tcPr>
          <w:p w14:paraId="41FE87C4"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-0.44%</w:t>
            </w:r>
          </w:p>
        </w:tc>
        <w:tc>
          <w:tcPr>
            <w:tcW w:w="1265" w:type="dxa"/>
            <w:tcBorders>
              <w:top w:val="single" w:sz="4" w:space="0" w:color="auto"/>
              <w:left w:val="nil"/>
              <w:bottom w:val="single" w:sz="8" w:space="0" w:color="auto"/>
              <w:right w:val="single" w:sz="4" w:space="0" w:color="auto"/>
            </w:tcBorders>
            <w:shd w:val="clear" w:color="000000" w:fill="D9D9D9"/>
            <w:vAlign w:val="center"/>
            <w:hideMark/>
          </w:tcPr>
          <w:p w14:paraId="5CAB5161"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1.064</w:t>
            </w:r>
          </w:p>
        </w:tc>
      </w:tr>
    </w:tbl>
    <w:p w14:paraId="31B3B90D"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6CEEBE8"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B3D085C" w14:textId="77777777" w:rsidR="000F78F1" w:rsidRPr="000F78F1" w:rsidRDefault="000F78F1" w:rsidP="000F78F1">
      <w:pPr>
        <w:spacing w:after="0"/>
        <w:rPr>
          <w:rFonts w:cs="Arial"/>
          <w:shd w:val="clear" w:color="auto" w:fill="FFFFFF"/>
        </w:rPr>
      </w:pPr>
      <w:r w:rsidRPr="000F78F1">
        <w:rPr>
          <w:rFonts w:cs="Arial"/>
          <w:shd w:val="clear" w:color="auto" w:fill="FFFFFF"/>
        </w:rPr>
        <w:lastRenderedPageBreak/>
        <w:t>The budget for Resources Directorate is £112.419m, the current forecast position is an underspend of £0.497m, which is an improvement of c£1.6m compared to Quarter 1.</w:t>
      </w:r>
    </w:p>
    <w:p w14:paraId="4F768C89" w14:textId="77777777" w:rsidR="000F78F1" w:rsidRPr="000F78F1" w:rsidRDefault="000F78F1" w:rsidP="000F78F1">
      <w:pPr>
        <w:spacing w:after="0"/>
        <w:rPr>
          <w:rFonts w:cs="Arial"/>
          <w:shd w:val="clear" w:color="auto" w:fill="FFFFFF"/>
        </w:rPr>
      </w:pPr>
    </w:p>
    <w:p w14:paraId="11FA38D1" w14:textId="77777777" w:rsidR="000F78F1" w:rsidRPr="000F78F1" w:rsidRDefault="000F78F1" w:rsidP="000F78F1">
      <w:pPr>
        <w:spacing w:after="0"/>
        <w:rPr>
          <w:rFonts w:cs="Arial"/>
          <w:b/>
          <w:bCs/>
          <w:u w:val="single"/>
        </w:rPr>
      </w:pPr>
      <w:r w:rsidRPr="000F78F1">
        <w:rPr>
          <w:rFonts w:cs="Arial"/>
          <w:b/>
          <w:bCs/>
          <w:u w:val="single"/>
          <w:shd w:val="clear" w:color="auto" w:fill="FFFFFF"/>
        </w:rPr>
        <w:t>Finance Services – Forecast underspend £0.187m</w:t>
      </w:r>
    </w:p>
    <w:p w14:paraId="4762639F"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24949F5C"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Exchequer Services – Forecast underspend of £0.151m</w:t>
      </w:r>
    </w:p>
    <w:p w14:paraId="74B242AB"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forecast position includes an underspend of £325,000 on employees, which is due to vacancies, employees opting out of the pension scheme and employees working in variable time arrangements.  This underspend is offset by some pressures on supplies and services and income. </w:t>
      </w:r>
    </w:p>
    <w:p w14:paraId="75B48770" w14:textId="77777777" w:rsidR="000F78F1" w:rsidRPr="000F78F1" w:rsidRDefault="000F78F1" w:rsidP="000F78F1">
      <w:pPr>
        <w:spacing w:after="0"/>
        <w:textAlignment w:val="baseline"/>
        <w:rPr>
          <w:rFonts w:eastAsia="Times New Roman" w:cs="Arial"/>
          <w:lang w:eastAsia="en-GB"/>
        </w:rPr>
      </w:pPr>
    </w:p>
    <w:p w14:paraId="29BCD47E" w14:textId="77777777" w:rsidR="000F78F1" w:rsidRPr="000F78F1" w:rsidRDefault="000F78F1" w:rsidP="000F78F1">
      <w:pPr>
        <w:spacing w:after="0"/>
        <w:textAlignment w:val="baseline"/>
        <w:rPr>
          <w:rFonts w:ascii="Segoe UI" w:eastAsia="Times New Roman" w:hAnsi="Segoe UI" w:cs="Segoe UI"/>
          <w:b/>
          <w:bCs/>
          <w:sz w:val="18"/>
          <w:szCs w:val="18"/>
          <w:lang w:eastAsia="en-GB"/>
        </w:rPr>
      </w:pPr>
      <w:r w:rsidRPr="000F78F1">
        <w:rPr>
          <w:rFonts w:eastAsia="Times New Roman" w:cs="Arial"/>
          <w:b/>
          <w:bCs/>
          <w:lang w:eastAsia="en-GB"/>
        </w:rPr>
        <w:t>Financial Management (Development and Schools) – Forecast overspend £0.188m</w:t>
      </w:r>
    </w:p>
    <w:p w14:paraId="4C30A28A"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forecast overspend largely relates to staff costs. </w:t>
      </w:r>
    </w:p>
    <w:p w14:paraId="00D86DE4"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09FC6A92"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Corporate Finance – Forecast underspend of £0.236m</w:t>
      </w:r>
      <w:r w:rsidRPr="000F78F1">
        <w:rPr>
          <w:rFonts w:eastAsia="Times New Roman" w:cs="Arial"/>
          <w:lang w:eastAsia="en-GB"/>
        </w:rPr>
        <w:t> </w:t>
      </w:r>
    </w:p>
    <w:p w14:paraId="339112FF"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forecast underspend largely relates to staff costs. </w:t>
      </w:r>
    </w:p>
    <w:p w14:paraId="5F928934" w14:textId="77777777" w:rsidR="000F78F1" w:rsidRPr="000F78F1" w:rsidRDefault="000F78F1" w:rsidP="000F78F1">
      <w:pPr>
        <w:spacing w:after="0"/>
        <w:textAlignment w:val="baseline"/>
        <w:rPr>
          <w:rFonts w:eastAsia="Times New Roman" w:cs="Arial"/>
          <w:lang w:eastAsia="en-GB"/>
        </w:rPr>
      </w:pPr>
    </w:p>
    <w:p w14:paraId="13A679CE" w14:textId="77777777" w:rsidR="000F78F1" w:rsidRPr="000F78F1" w:rsidRDefault="000F78F1" w:rsidP="000F78F1">
      <w:pPr>
        <w:spacing w:after="0"/>
        <w:rPr>
          <w:rFonts w:cs="Arial"/>
          <w:b/>
          <w:bCs/>
          <w:u w:val="single"/>
        </w:rPr>
      </w:pPr>
      <w:r w:rsidRPr="000F78F1">
        <w:rPr>
          <w:rFonts w:cs="Arial"/>
          <w:b/>
          <w:bCs/>
          <w:u w:val="single"/>
        </w:rPr>
        <w:t>Digital Services – Forecast underspend £1.042m</w:t>
      </w:r>
    </w:p>
    <w:p w14:paraId="749B90D3" w14:textId="77777777" w:rsidR="000F78F1" w:rsidRPr="000F78F1" w:rsidRDefault="000F78F1" w:rsidP="000F78F1">
      <w:pPr>
        <w:spacing w:after="0"/>
        <w:textAlignment w:val="baseline"/>
        <w:rPr>
          <w:rFonts w:eastAsia="Times New Roman" w:cs="Arial"/>
          <w:color w:val="auto"/>
          <w:lang w:eastAsia="en-GB"/>
        </w:rPr>
      </w:pPr>
    </w:p>
    <w:p w14:paraId="0F0FE950" w14:textId="77777777" w:rsidR="000F78F1" w:rsidRPr="000F78F1" w:rsidRDefault="000F78F1" w:rsidP="000F78F1">
      <w:pPr>
        <w:spacing w:after="0"/>
        <w:textAlignment w:val="baseline"/>
        <w:rPr>
          <w:rFonts w:eastAsia="Times New Roman" w:cs="Arial"/>
          <w:color w:val="auto"/>
          <w:lang w:eastAsia="en-GB"/>
        </w:rPr>
      </w:pPr>
      <w:r w:rsidRPr="000F78F1">
        <w:rPr>
          <w:rFonts w:eastAsia="Times New Roman" w:cs="Arial"/>
          <w:color w:val="auto"/>
          <w:lang w:eastAsia="en-GB"/>
        </w:rPr>
        <w:t>Forecast underspends of c£1.100m relate to staff costs and vacant posts offset by c£400,000 to cover the cost of contractors and commissioning work from external providers/consultants with the service continuing to experience difficulties recruiting staff. The forecast underspend is also further offset by forecast under recovery of income of c£200,000 due to fewer requests for chargeable one-off change projects as opposed to business-as-usual work.</w:t>
      </w:r>
    </w:p>
    <w:p w14:paraId="707662DF" w14:textId="77777777" w:rsidR="000F78F1" w:rsidRPr="000F78F1" w:rsidRDefault="000F78F1" w:rsidP="000F78F1">
      <w:pPr>
        <w:spacing w:after="0"/>
        <w:textAlignment w:val="baseline"/>
        <w:rPr>
          <w:rFonts w:eastAsia="Times New Roman" w:cs="Arial"/>
          <w:color w:val="auto"/>
          <w:lang w:eastAsia="en-GB"/>
        </w:rPr>
      </w:pPr>
    </w:p>
    <w:p w14:paraId="08BC09CA" w14:textId="77777777" w:rsidR="000F78F1" w:rsidRPr="000F78F1" w:rsidRDefault="000F78F1" w:rsidP="000F78F1">
      <w:pPr>
        <w:spacing w:after="0"/>
        <w:textAlignment w:val="baseline"/>
        <w:rPr>
          <w:rFonts w:eastAsia="Times New Roman" w:cs="Arial"/>
          <w:color w:val="auto"/>
          <w:lang w:eastAsia="en-GB"/>
        </w:rPr>
      </w:pPr>
      <w:r w:rsidRPr="000F78F1">
        <w:rPr>
          <w:rFonts w:eastAsia="Times New Roman" w:cs="Arial"/>
          <w:color w:val="auto"/>
          <w:lang w:eastAsia="en-GB"/>
        </w:rPr>
        <w:t>Forecast underspends of c£400,000 relate to renewals (payments to third party suppliers for maintenance, support and licences), which is anticipated to be non-recurring.  The cost of Microsoft 365 is expected to increase in 2023/24 following the rollout of further phases while the impact of over estimating inflation included in the budget for 2022/23 will be removed in the medium-term financial strategy from 2023/24.</w:t>
      </w:r>
    </w:p>
    <w:p w14:paraId="30D038C4" w14:textId="77777777" w:rsidR="000F78F1" w:rsidRPr="000F78F1" w:rsidRDefault="000F78F1" w:rsidP="000F78F1">
      <w:pPr>
        <w:spacing w:after="0"/>
        <w:textAlignment w:val="baseline"/>
        <w:rPr>
          <w:rFonts w:eastAsia="Times New Roman" w:cs="Arial"/>
          <w:color w:val="auto"/>
          <w:lang w:eastAsia="en-GB"/>
        </w:rPr>
      </w:pPr>
    </w:p>
    <w:p w14:paraId="3F1E7B63" w14:textId="77777777" w:rsidR="000F78F1" w:rsidRPr="000F78F1" w:rsidRDefault="000F78F1" w:rsidP="000F78F1">
      <w:pPr>
        <w:spacing w:after="0"/>
        <w:textAlignment w:val="baseline"/>
        <w:rPr>
          <w:rFonts w:eastAsia="Times New Roman" w:cs="Arial"/>
          <w:color w:val="auto"/>
          <w:lang w:eastAsia="en-GB"/>
        </w:rPr>
      </w:pPr>
      <w:r w:rsidRPr="000F78F1">
        <w:rPr>
          <w:rFonts w:eastAsia="Times New Roman" w:cs="Arial"/>
          <w:color w:val="auto"/>
          <w:lang w:eastAsia="en-GB"/>
        </w:rPr>
        <w:t>Forecast underspends of c£100,000 relate to various other expenditure and income across Digital Services. The forecast assumes c£1.800m of reserves will be used for ICT refresh most of which relates to infrastructure refresh and c£300,000 of reserves will be used for the update or re-procurement of the LAS system in 2022/23.</w:t>
      </w:r>
    </w:p>
    <w:p w14:paraId="0F706A0C" w14:textId="77777777" w:rsidR="000F78F1" w:rsidRPr="000F78F1" w:rsidRDefault="000F78F1" w:rsidP="000F78F1">
      <w:pPr>
        <w:spacing w:after="0"/>
        <w:textAlignment w:val="baseline"/>
        <w:rPr>
          <w:rFonts w:eastAsia="Times New Roman" w:cs="Arial"/>
          <w:lang w:eastAsia="en-GB"/>
        </w:rPr>
      </w:pPr>
    </w:p>
    <w:p w14:paraId="66A1031B" w14:textId="77777777" w:rsidR="000F78F1" w:rsidRPr="000F78F1" w:rsidRDefault="000F78F1" w:rsidP="000F78F1">
      <w:pPr>
        <w:spacing w:after="0"/>
        <w:textAlignment w:val="baseline"/>
        <w:rPr>
          <w:rFonts w:ascii="Segoe UI" w:eastAsia="Times New Roman" w:hAnsi="Segoe UI" w:cs="Segoe UI"/>
          <w:sz w:val="18"/>
          <w:szCs w:val="18"/>
          <w:u w:val="single"/>
          <w:lang w:eastAsia="en-GB"/>
        </w:rPr>
      </w:pPr>
      <w:r w:rsidRPr="000F78F1">
        <w:rPr>
          <w:rFonts w:cs="Arial"/>
          <w:b/>
          <w:u w:val="single"/>
        </w:rPr>
        <w:t>Strategy and Performance – Forecast overspend £0.960m</w:t>
      </w:r>
    </w:p>
    <w:p w14:paraId="4A011E37"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27F1040A"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Asset Management – Forecast Underspend £0.538m</w:t>
      </w:r>
      <w:r w:rsidRPr="000F78F1">
        <w:rPr>
          <w:rFonts w:eastAsia="Times New Roman" w:cs="Arial"/>
          <w:lang w:eastAsia="en-GB"/>
        </w:rPr>
        <w:t> </w:t>
      </w:r>
    </w:p>
    <w:p w14:paraId="6434C83A"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This underspend relates to staffing as the service has </w:t>
      </w:r>
      <w:proofErr w:type="gramStart"/>
      <w:r w:rsidRPr="000F78F1">
        <w:rPr>
          <w:rFonts w:eastAsia="Times New Roman" w:cs="Arial"/>
          <w:lang w:eastAsia="en-GB"/>
        </w:rPr>
        <w:t>a number of</w:t>
      </w:r>
      <w:proofErr w:type="gramEnd"/>
      <w:r w:rsidRPr="000F78F1">
        <w:rPr>
          <w:rFonts w:eastAsia="Times New Roman" w:cs="Arial"/>
          <w:lang w:eastAsia="en-GB"/>
        </w:rPr>
        <w:t xml:space="preserve"> vacant posts that they are trying to recruit to. </w:t>
      </w:r>
    </w:p>
    <w:p w14:paraId="57F235AE" w14:textId="77777777" w:rsidR="000F78F1" w:rsidRPr="000F78F1" w:rsidRDefault="000F78F1" w:rsidP="000F78F1">
      <w:pPr>
        <w:spacing w:after="0"/>
        <w:textAlignment w:val="baseline"/>
        <w:rPr>
          <w:rFonts w:eastAsia="Times New Roman" w:cs="Arial"/>
          <w:lang w:eastAsia="en-GB"/>
        </w:rPr>
      </w:pPr>
    </w:p>
    <w:p w14:paraId="02024189"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An area of pressure within these services is related to street lighting energy, the revised price for energy will be known in October and is expected to increase by 66% resulting in overspends of c£800,000. However, we made a provision at the end </w:t>
      </w:r>
      <w:r w:rsidRPr="000F78F1">
        <w:rPr>
          <w:rFonts w:eastAsia="Times New Roman" w:cs="Arial"/>
          <w:lang w:eastAsia="en-GB"/>
        </w:rPr>
        <w:lastRenderedPageBreak/>
        <w:t>of 2021/22 to cover these additional costs so no variance to budget is reported in the forecast. </w:t>
      </w:r>
    </w:p>
    <w:p w14:paraId="2B98D8C5"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21C0D9A8"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b/>
          <w:bCs/>
          <w:lang w:eastAsia="en-GB"/>
        </w:rPr>
        <w:t>Facilities Management – Forecast Overspend £1.515m</w:t>
      </w:r>
      <w:r w:rsidRPr="000F78F1">
        <w:rPr>
          <w:rFonts w:eastAsia="Times New Roman" w:cs="Arial"/>
          <w:lang w:eastAsia="en-GB"/>
        </w:rPr>
        <w:t> </w:t>
      </w:r>
    </w:p>
    <w:p w14:paraId="7E6AD593"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xml:space="preserve">The areas where there will </w:t>
      </w:r>
      <w:bookmarkStart w:id="13" w:name="_Int_XoEGHFnP"/>
      <w:r w:rsidRPr="000F78F1">
        <w:rPr>
          <w:rFonts w:eastAsia="Times New Roman" w:cs="Arial"/>
          <w:lang w:eastAsia="en-GB"/>
        </w:rPr>
        <w:t>likely be</w:t>
      </w:r>
      <w:bookmarkEnd w:id="13"/>
      <w:r w:rsidRPr="000F78F1">
        <w:rPr>
          <w:rFonts w:eastAsia="Times New Roman" w:cs="Arial"/>
          <w:lang w:eastAsia="en-GB"/>
        </w:rPr>
        <w:t xml:space="preserve"> variation to budget in 2022/23 are the same as 2021/22, namely school catering, staff and civic catering and premises running costs including repairs and maintenance.  </w:t>
      </w:r>
    </w:p>
    <w:p w14:paraId="6390568C"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3355134D"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r w:rsidRPr="000F78F1">
        <w:rPr>
          <w:rFonts w:eastAsia="Times New Roman" w:cs="Arial"/>
          <w:lang w:eastAsia="en-GB"/>
        </w:rPr>
        <w:t xml:space="preserve">The most significant variance is school catering which is forecast to overspend by £1.012m </w:t>
      </w:r>
      <w:bookmarkStart w:id="14" w:name="_Int_KHH7A6B2"/>
      <w:r w:rsidRPr="000F78F1">
        <w:rPr>
          <w:rFonts w:eastAsia="Times New Roman" w:cs="Arial"/>
          <w:lang w:eastAsia="en-GB"/>
        </w:rPr>
        <w:t>predominantly due</w:t>
      </w:r>
      <w:bookmarkEnd w:id="14"/>
      <w:r w:rsidRPr="000F78F1">
        <w:rPr>
          <w:rFonts w:eastAsia="Times New Roman" w:cs="Arial"/>
          <w:lang w:eastAsia="en-GB"/>
        </w:rPr>
        <w:t xml:space="preserve"> to a combination of increases in food prices, additional staffing costs and income not returning to pre-covid levels. This forecast is volatile and will be kept under review throughout the year. The service is actively looking at menus and food served in schools to try to minimise the impacts or rising food and staffing costs.</w:t>
      </w:r>
    </w:p>
    <w:p w14:paraId="61D22DAA"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572EB18A" w14:textId="519E86C6"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Staff and civic catering </w:t>
      </w:r>
      <w:proofErr w:type="gramStart"/>
      <w:r w:rsidRPr="000F78F1">
        <w:rPr>
          <w:rFonts w:eastAsia="Times New Roman" w:cs="Arial"/>
          <w:lang w:eastAsia="en-GB"/>
        </w:rPr>
        <w:t>is</w:t>
      </w:r>
      <w:proofErr w:type="gramEnd"/>
      <w:r w:rsidRPr="000F78F1">
        <w:rPr>
          <w:rFonts w:eastAsia="Times New Roman" w:cs="Arial"/>
          <w:lang w:eastAsia="en-GB"/>
        </w:rPr>
        <w:t xml:space="preserve"> forecast to overspend by £150,000 due to lower sales as a result of a significant number of staff continuing to predominantly work from home. In September </w:t>
      </w:r>
      <w:r w:rsidR="00377F81">
        <w:rPr>
          <w:rFonts w:eastAsia="Times New Roman" w:cs="Arial"/>
          <w:lang w:eastAsia="en-GB"/>
        </w:rPr>
        <w:t xml:space="preserve">there has been </w:t>
      </w:r>
      <w:r w:rsidRPr="000F78F1">
        <w:rPr>
          <w:rFonts w:eastAsia="Times New Roman" w:cs="Arial"/>
          <w:lang w:eastAsia="en-GB"/>
        </w:rPr>
        <w:t xml:space="preserve">an increase in </w:t>
      </w:r>
      <w:r w:rsidR="00377F81" w:rsidRPr="000F78F1">
        <w:rPr>
          <w:rFonts w:eastAsia="Times New Roman" w:cs="Arial"/>
          <w:lang w:eastAsia="en-GB"/>
        </w:rPr>
        <w:t>footfall,</w:t>
      </w:r>
      <w:r w:rsidRPr="000F78F1">
        <w:rPr>
          <w:rFonts w:eastAsia="Times New Roman" w:cs="Arial"/>
          <w:lang w:eastAsia="en-GB"/>
        </w:rPr>
        <w:t xml:space="preserve"> and it is possible should that trend continue for the remainder of the year this position may improve slightly.</w:t>
      </w:r>
    </w:p>
    <w:p w14:paraId="355DF2B8" w14:textId="77777777" w:rsidR="000F78F1" w:rsidRPr="000F78F1" w:rsidRDefault="000F78F1" w:rsidP="000F78F1">
      <w:pPr>
        <w:spacing w:after="0"/>
        <w:textAlignment w:val="baseline"/>
        <w:rPr>
          <w:rFonts w:ascii="Segoe UI" w:eastAsia="Times New Roman" w:hAnsi="Segoe UI" w:cs="Segoe UI"/>
          <w:sz w:val="18"/>
          <w:szCs w:val="18"/>
          <w:lang w:eastAsia="en-GB"/>
        </w:rPr>
      </w:pPr>
      <w:r w:rsidRPr="000F78F1">
        <w:rPr>
          <w:rFonts w:eastAsia="Times New Roman" w:cs="Arial"/>
          <w:lang w:eastAsia="en-GB"/>
        </w:rPr>
        <w:t>  </w:t>
      </w:r>
    </w:p>
    <w:p w14:paraId="703552C9" w14:textId="77777777" w:rsidR="000F78F1" w:rsidRPr="000F78F1" w:rsidRDefault="000F78F1" w:rsidP="000F78F1">
      <w:pPr>
        <w:spacing w:after="0"/>
        <w:rPr>
          <w:rFonts w:cs="Arial"/>
          <w:b/>
          <w:highlight w:val="yellow"/>
          <w:u w:val="single"/>
        </w:rPr>
      </w:pPr>
      <w:r w:rsidRPr="000F78F1">
        <w:rPr>
          <w:rFonts w:eastAsia="Times New Roman" w:cs="Arial"/>
          <w:lang w:eastAsia="en-GB"/>
        </w:rPr>
        <w:t>A half yearly review of premises running costs including repairs and maintenance shows an overall forecast overspend of c£1.200m however £700,000 of that relates to the costs of electricity and gas where a provision was made at the end of 2021/22 to cover price increases so the variance to budget is £510,000. The impacts of the support package announced by central government for utility costs is still being interpreted but it is currently thought that we will not benefit from any support due to purchasing electricity and gas in advance when prices whilst much increased were not at as high a level as they are currently. The main reason for the overspend to budget is due to higher spend on repairs and maintenance as buildings had significantly less spent on them during the pandemic and now more faults are being identified.</w:t>
      </w:r>
    </w:p>
    <w:p w14:paraId="48B5CFF9" w14:textId="77777777" w:rsidR="000F78F1" w:rsidRPr="000F78F1" w:rsidRDefault="000F78F1" w:rsidP="000F78F1">
      <w:pPr>
        <w:spacing w:after="0"/>
        <w:rPr>
          <w:rFonts w:cs="Arial"/>
          <w:highlight w:val="yellow"/>
        </w:rPr>
      </w:pPr>
    </w:p>
    <w:p w14:paraId="01F84D1E" w14:textId="77777777" w:rsidR="000F78F1" w:rsidRPr="000F78F1" w:rsidRDefault="000F78F1" w:rsidP="000F78F1">
      <w:pPr>
        <w:spacing w:after="0"/>
        <w:rPr>
          <w:rFonts w:cs="Arial"/>
          <w:b/>
          <w:bCs/>
          <w:u w:val="single"/>
        </w:rPr>
      </w:pPr>
      <w:r w:rsidRPr="000F78F1">
        <w:rPr>
          <w:rFonts w:cs="Arial"/>
          <w:b/>
          <w:bCs/>
          <w:u w:val="single"/>
        </w:rPr>
        <w:t>Corporate Services – Forecast overspend £0.311m</w:t>
      </w:r>
    </w:p>
    <w:p w14:paraId="2DB31A38" w14:textId="77777777" w:rsidR="000F78F1" w:rsidRPr="000F78F1" w:rsidRDefault="000F78F1" w:rsidP="000F78F1">
      <w:pPr>
        <w:spacing w:after="0"/>
        <w:rPr>
          <w:rFonts w:cs="Arial"/>
          <w:b/>
          <w:bCs/>
        </w:rPr>
      </w:pPr>
    </w:p>
    <w:p w14:paraId="4B01912A" w14:textId="77777777" w:rsidR="000F78F1" w:rsidRPr="000F78F1" w:rsidRDefault="000F78F1" w:rsidP="000F78F1">
      <w:pPr>
        <w:spacing w:after="0"/>
        <w:rPr>
          <w:rFonts w:cs="Arial"/>
          <w:b/>
          <w:bCs/>
        </w:rPr>
      </w:pPr>
      <w:r w:rsidRPr="000F78F1">
        <w:rPr>
          <w:rFonts w:cs="Arial"/>
          <w:b/>
          <w:bCs/>
        </w:rPr>
        <w:t>Coroners Service – Forecast overspend £0.127m</w:t>
      </w:r>
    </w:p>
    <w:p w14:paraId="162AD94B" w14:textId="77777777" w:rsidR="000F78F1" w:rsidRPr="000F78F1" w:rsidRDefault="000F78F1" w:rsidP="000F78F1">
      <w:pPr>
        <w:spacing w:after="0"/>
        <w:rPr>
          <w:rFonts w:cs="Arial"/>
          <w:highlight w:val="yellow"/>
        </w:rPr>
      </w:pPr>
      <w:r w:rsidRPr="000F78F1">
        <w:rPr>
          <w:rFonts w:cs="Arial"/>
        </w:rPr>
        <w:t xml:space="preserve">An overspend is forecast on staff costs due to the pay award (Coroners have their own Joint Negotiating Committee for Coroners that determine their pay award), in addition to those staff impacted by the pay award for those staff covered by the National Joint Council. </w:t>
      </w:r>
    </w:p>
    <w:p w14:paraId="04DECE58" w14:textId="77777777" w:rsidR="000F78F1" w:rsidRPr="000F78F1" w:rsidRDefault="000F78F1" w:rsidP="000F78F1">
      <w:pPr>
        <w:spacing w:after="0"/>
        <w:rPr>
          <w:rFonts w:cs="Arial"/>
        </w:rPr>
      </w:pPr>
    </w:p>
    <w:p w14:paraId="729EAD01" w14:textId="77777777" w:rsidR="000F78F1" w:rsidRPr="000F78F1" w:rsidRDefault="000F78F1" w:rsidP="000F78F1">
      <w:pPr>
        <w:spacing w:after="0"/>
        <w:rPr>
          <w:rFonts w:cs="Arial"/>
        </w:rPr>
      </w:pPr>
      <w:r w:rsidRPr="000F78F1">
        <w:rPr>
          <w:rFonts w:cs="Arial"/>
        </w:rPr>
        <w:t xml:space="preserve">There are overspends forecast of c£0.100m on supplies and services due to higher contract prices which the service through efficiencies has previously been able to cover.  However, this option will no longer be viable going forward. There is also an anticipated increase cost of post-mortems and their associated costs due to the training of new coroner officers.  </w:t>
      </w:r>
    </w:p>
    <w:p w14:paraId="4C5FF18E" w14:textId="77777777" w:rsidR="000F78F1" w:rsidRPr="000F78F1" w:rsidRDefault="000F78F1" w:rsidP="000F78F1">
      <w:pPr>
        <w:spacing w:after="0"/>
        <w:rPr>
          <w:rFonts w:cs="Arial"/>
        </w:rPr>
      </w:pPr>
    </w:p>
    <w:p w14:paraId="17C2A789" w14:textId="77777777" w:rsidR="000F78F1" w:rsidRPr="000F78F1" w:rsidRDefault="000F78F1" w:rsidP="000F78F1">
      <w:pPr>
        <w:spacing w:after="0"/>
        <w:rPr>
          <w:rFonts w:cs="Arial"/>
        </w:rPr>
      </w:pPr>
      <w:r w:rsidRPr="000F78F1">
        <w:rPr>
          <w:rFonts w:cs="Arial"/>
        </w:rPr>
        <w:t>The overspends above are offset by additional income achieved by the service.</w:t>
      </w:r>
    </w:p>
    <w:p w14:paraId="21A1E92B" w14:textId="77777777" w:rsidR="000F78F1" w:rsidRPr="000F78F1" w:rsidRDefault="000F78F1" w:rsidP="000F78F1">
      <w:pPr>
        <w:spacing w:after="0"/>
        <w:rPr>
          <w:rFonts w:cs="Arial"/>
        </w:rPr>
      </w:pPr>
    </w:p>
    <w:p w14:paraId="5B7AEB83" w14:textId="77777777" w:rsidR="000F78F1" w:rsidRPr="000F78F1" w:rsidRDefault="000F78F1" w:rsidP="000F78F1">
      <w:pPr>
        <w:spacing w:after="0"/>
        <w:rPr>
          <w:rFonts w:cs="Arial"/>
        </w:rPr>
      </w:pPr>
    </w:p>
    <w:p w14:paraId="15A9F914" w14:textId="77777777" w:rsidR="000F78F1" w:rsidRPr="000F78F1" w:rsidRDefault="000F78F1" w:rsidP="000F78F1">
      <w:pPr>
        <w:spacing w:after="0"/>
        <w:rPr>
          <w:rFonts w:cs="Arial"/>
        </w:rPr>
      </w:pPr>
    </w:p>
    <w:p w14:paraId="34C52ABD" w14:textId="77777777" w:rsidR="000F78F1" w:rsidRPr="000F78F1" w:rsidRDefault="000F78F1" w:rsidP="000F78F1">
      <w:pPr>
        <w:spacing w:after="0"/>
        <w:rPr>
          <w:rFonts w:cs="Arial"/>
        </w:rPr>
      </w:pPr>
    </w:p>
    <w:p w14:paraId="0B057087" w14:textId="77777777" w:rsidR="000F78F1" w:rsidRPr="000F78F1" w:rsidRDefault="000F78F1" w:rsidP="000F78F1">
      <w:pPr>
        <w:spacing w:after="0"/>
        <w:rPr>
          <w:rFonts w:cs="Arial"/>
          <w:b/>
        </w:rPr>
      </w:pPr>
      <w:r w:rsidRPr="000F78F1">
        <w:rPr>
          <w:rFonts w:cs="Arial"/>
          <w:b/>
        </w:rPr>
        <w:t>Legal, Governance and Registrars – Forecast Overspend £0.184m</w:t>
      </w:r>
    </w:p>
    <w:p w14:paraId="6ABA92AE" w14:textId="77777777" w:rsidR="000F78F1" w:rsidRPr="000F78F1" w:rsidRDefault="000F78F1" w:rsidP="000F78F1">
      <w:pPr>
        <w:spacing w:after="0"/>
        <w:rPr>
          <w:rFonts w:cs="Arial"/>
        </w:rPr>
      </w:pPr>
      <w:r w:rsidRPr="000F78F1">
        <w:rPr>
          <w:rFonts w:cs="Arial"/>
        </w:rPr>
        <w:t xml:space="preserve">Legal and Governance is forecast to overspend by £0.388m at Quarter 2. This is comprised of </w:t>
      </w:r>
      <w:proofErr w:type="gramStart"/>
      <w:r w:rsidRPr="000F78F1">
        <w:rPr>
          <w:rFonts w:cs="Arial"/>
        </w:rPr>
        <w:t>a number of</w:t>
      </w:r>
      <w:proofErr w:type="gramEnd"/>
      <w:r w:rsidRPr="000F78F1">
        <w:rPr>
          <w:rFonts w:cs="Arial"/>
        </w:rPr>
        <w:t xml:space="preserve"> variances, the largest being a forecast overspend on staffing predominantly due to the pay award and agency costs, offset by vacancies. </w:t>
      </w:r>
    </w:p>
    <w:p w14:paraId="1299FA6D" w14:textId="77777777" w:rsidR="000F78F1" w:rsidRPr="000F78F1" w:rsidRDefault="000F78F1" w:rsidP="000F78F1">
      <w:pPr>
        <w:spacing w:after="0"/>
        <w:rPr>
          <w:rFonts w:cs="Arial"/>
          <w:highlight w:val="yellow"/>
        </w:rPr>
      </w:pPr>
    </w:p>
    <w:p w14:paraId="3828D993" w14:textId="49A536EA" w:rsidR="000F78F1" w:rsidRPr="000F78F1" w:rsidRDefault="000F78F1" w:rsidP="000F78F1">
      <w:pPr>
        <w:spacing w:after="0"/>
        <w:rPr>
          <w:rFonts w:cs="Arial"/>
        </w:rPr>
      </w:pPr>
      <w:r w:rsidRPr="000F78F1">
        <w:rPr>
          <w:rFonts w:cs="Arial"/>
        </w:rPr>
        <w:t xml:space="preserve">There are also </w:t>
      </w:r>
      <w:r w:rsidR="00C02366">
        <w:rPr>
          <w:rFonts w:cs="Arial"/>
        </w:rPr>
        <w:t>underspends</w:t>
      </w:r>
      <w:r w:rsidRPr="000F78F1">
        <w:rPr>
          <w:rFonts w:cs="Arial"/>
        </w:rPr>
        <w:t xml:space="preserve"> on legal fees of c£0.370m based on profiling of cases to date with an offsetting pressure of c£0.360m income, mainly in relation to litigation fees. </w:t>
      </w:r>
    </w:p>
    <w:p w14:paraId="122FBC2A" w14:textId="77777777" w:rsidR="000F78F1" w:rsidRPr="000F78F1" w:rsidRDefault="000F78F1" w:rsidP="000F78F1">
      <w:pPr>
        <w:spacing w:after="0"/>
        <w:rPr>
          <w:rFonts w:cs="Arial"/>
        </w:rPr>
      </w:pPr>
    </w:p>
    <w:p w14:paraId="4C524FFA" w14:textId="77777777" w:rsidR="000F78F1" w:rsidRPr="000F78F1" w:rsidRDefault="000F78F1" w:rsidP="000F78F1">
      <w:pPr>
        <w:spacing w:after="0"/>
        <w:rPr>
          <w:rFonts w:cs="Arial"/>
        </w:rPr>
      </w:pPr>
      <w:r w:rsidRPr="000F78F1">
        <w:rPr>
          <w:rFonts w:cs="Arial"/>
        </w:rPr>
        <w:t xml:space="preserve">The </w:t>
      </w:r>
      <w:proofErr w:type="gramStart"/>
      <w:r w:rsidRPr="000F78F1">
        <w:rPr>
          <w:rFonts w:cs="Arial"/>
        </w:rPr>
        <w:t>Registrars</w:t>
      </w:r>
      <w:proofErr w:type="gramEnd"/>
      <w:r w:rsidRPr="000F78F1">
        <w:rPr>
          <w:rFonts w:cs="Arial"/>
        </w:rPr>
        <w:t xml:space="preserve"> Service is forecast to underspend by £0.204m. This is due to overachievement of income offset by an overspend in staffing due to the higher than budgeted pay award. </w:t>
      </w:r>
    </w:p>
    <w:p w14:paraId="0CD316EB" w14:textId="77777777" w:rsidR="000F78F1" w:rsidRPr="000F78F1" w:rsidRDefault="000F78F1" w:rsidP="000F78F1">
      <w:pPr>
        <w:spacing w:after="0"/>
        <w:rPr>
          <w:rFonts w:cs="Arial"/>
          <w:highlight w:val="yellow"/>
        </w:rPr>
      </w:pPr>
    </w:p>
    <w:p w14:paraId="1922FAD5" w14:textId="77777777" w:rsidR="000F78F1" w:rsidRPr="000F78F1" w:rsidRDefault="000F78F1" w:rsidP="000F78F1">
      <w:pPr>
        <w:spacing w:after="0"/>
        <w:rPr>
          <w:rFonts w:cs="Arial"/>
          <w:highlight w:val="yellow"/>
        </w:rPr>
      </w:pPr>
      <w:r w:rsidRPr="000F78F1">
        <w:rPr>
          <w:rFonts w:cs="Arial"/>
          <w:b/>
          <w:bCs/>
          <w:u w:val="single"/>
        </w:rPr>
        <w:t>Organisational Development and Change – Forecast underspend £0.102m</w:t>
      </w:r>
    </w:p>
    <w:p w14:paraId="6DFD7F77"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forecast underspend largely relates to staff costs. </w:t>
      </w:r>
    </w:p>
    <w:p w14:paraId="310FDA03" w14:textId="77777777" w:rsidR="000F78F1" w:rsidRPr="000F78F1" w:rsidRDefault="000F78F1" w:rsidP="000F78F1">
      <w:pPr>
        <w:spacing w:after="0"/>
        <w:rPr>
          <w:rFonts w:cs="Arial"/>
          <w:highlight w:val="yellow"/>
        </w:rPr>
      </w:pPr>
    </w:p>
    <w:p w14:paraId="482B8094" w14:textId="77777777" w:rsidR="000F78F1" w:rsidRPr="000F78F1" w:rsidRDefault="000F78F1" w:rsidP="000F78F1">
      <w:pPr>
        <w:spacing w:after="0"/>
        <w:rPr>
          <w:rFonts w:cs="Arial"/>
        </w:rPr>
      </w:pPr>
      <w:r w:rsidRPr="000F78F1">
        <w:rPr>
          <w:rFonts w:cs="Arial"/>
          <w:b/>
          <w:bCs/>
          <w:u w:val="single"/>
        </w:rPr>
        <w:t>People Services – Forecast underspend £0.232m</w:t>
      </w:r>
    </w:p>
    <w:p w14:paraId="47F07F4A" w14:textId="77777777" w:rsidR="000F78F1" w:rsidRPr="000F78F1" w:rsidRDefault="000F78F1" w:rsidP="000F78F1">
      <w:pPr>
        <w:spacing w:after="0"/>
        <w:rPr>
          <w:rFonts w:cs="Arial"/>
        </w:rPr>
      </w:pPr>
      <w:r w:rsidRPr="000F78F1">
        <w:rPr>
          <w:rFonts w:cs="Arial"/>
        </w:rPr>
        <w:t xml:space="preserve">The forecast underspends relate to staff costs and income. </w:t>
      </w:r>
    </w:p>
    <w:p w14:paraId="70500555" w14:textId="77777777" w:rsidR="000F78F1" w:rsidRPr="000F78F1" w:rsidRDefault="000F78F1" w:rsidP="000F78F1">
      <w:pPr>
        <w:spacing w:after="0"/>
        <w:rPr>
          <w:rFonts w:cs="Arial"/>
        </w:rPr>
      </w:pPr>
    </w:p>
    <w:p w14:paraId="48E98AB6" w14:textId="77777777" w:rsidR="000F78F1" w:rsidRPr="000F78F1" w:rsidRDefault="000F78F1" w:rsidP="000F78F1">
      <w:pPr>
        <w:spacing w:after="0"/>
        <w:rPr>
          <w:rFonts w:cs="Arial"/>
          <w:highlight w:val="yellow"/>
        </w:rPr>
      </w:pPr>
      <w:r w:rsidRPr="000F78F1">
        <w:rPr>
          <w:rFonts w:cs="Arial"/>
          <w:b/>
          <w:bCs/>
          <w:u w:val="single"/>
        </w:rPr>
        <w:t>Communications Service – Forecast underspend £0.205m</w:t>
      </w:r>
    </w:p>
    <w:p w14:paraId="427B3345" w14:textId="77777777" w:rsidR="000F78F1" w:rsidRPr="000F78F1" w:rsidRDefault="000F78F1" w:rsidP="000F78F1">
      <w:pPr>
        <w:spacing w:after="0"/>
        <w:textAlignment w:val="baseline"/>
        <w:rPr>
          <w:rFonts w:eastAsia="Times New Roman" w:cs="Arial"/>
          <w:lang w:eastAsia="en-GB"/>
        </w:rPr>
      </w:pPr>
      <w:r w:rsidRPr="000F78F1">
        <w:rPr>
          <w:rFonts w:eastAsia="Times New Roman" w:cs="Arial"/>
          <w:lang w:eastAsia="en-GB"/>
        </w:rPr>
        <w:t xml:space="preserve">The forecast underspend largely relates to staff costs. </w:t>
      </w:r>
    </w:p>
    <w:bookmarkEnd w:id="12"/>
    <w:p w14:paraId="0B6ABF07" w14:textId="77777777" w:rsidR="000F78F1" w:rsidRPr="000F78F1" w:rsidRDefault="000F78F1" w:rsidP="000F78F1">
      <w:pPr>
        <w:spacing w:after="0"/>
        <w:rPr>
          <w:rFonts w:cs="Arial"/>
          <w:highlight w:val="yellow"/>
        </w:rPr>
      </w:pPr>
    </w:p>
    <w:p w14:paraId="192F24AB" w14:textId="77777777" w:rsidR="000F78F1" w:rsidRPr="000F78F1" w:rsidRDefault="000F78F1" w:rsidP="000F78F1">
      <w:pPr>
        <w:spacing w:after="0"/>
        <w:rPr>
          <w:rFonts w:cs="Arial"/>
          <w:highlight w:val="yellow"/>
        </w:rPr>
      </w:pPr>
    </w:p>
    <w:p w14:paraId="409E85A5" w14:textId="77777777" w:rsidR="000F78F1" w:rsidRPr="000F78F1" w:rsidRDefault="000F78F1" w:rsidP="000F78F1">
      <w:pPr>
        <w:spacing w:after="0"/>
        <w:rPr>
          <w:rFonts w:cs="Arial"/>
          <w:highlight w:val="yellow"/>
        </w:rPr>
      </w:pPr>
    </w:p>
    <w:p w14:paraId="1C79D666" w14:textId="77777777" w:rsidR="000F78F1" w:rsidRPr="000F78F1" w:rsidRDefault="000F78F1" w:rsidP="000F78F1">
      <w:pPr>
        <w:spacing w:after="0"/>
        <w:rPr>
          <w:rFonts w:cs="Arial"/>
          <w:highlight w:val="yellow"/>
        </w:rPr>
      </w:pPr>
    </w:p>
    <w:p w14:paraId="0922B72A" w14:textId="77777777" w:rsidR="000F78F1" w:rsidRPr="000F78F1" w:rsidRDefault="000F78F1" w:rsidP="000F78F1">
      <w:pPr>
        <w:spacing w:after="0"/>
        <w:rPr>
          <w:rFonts w:cs="Arial"/>
          <w:highlight w:val="yellow"/>
        </w:rPr>
      </w:pPr>
    </w:p>
    <w:p w14:paraId="13D96AE7" w14:textId="77777777" w:rsidR="000F78F1" w:rsidRPr="000F78F1" w:rsidRDefault="000F78F1" w:rsidP="000F78F1">
      <w:pPr>
        <w:spacing w:after="0"/>
        <w:rPr>
          <w:rFonts w:cs="Arial"/>
          <w:highlight w:val="yellow"/>
        </w:rPr>
      </w:pPr>
    </w:p>
    <w:p w14:paraId="16E6CC94" w14:textId="77777777" w:rsidR="000F78F1" w:rsidRPr="000F78F1" w:rsidRDefault="000F78F1" w:rsidP="000F78F1">
      <w:pPr>
        <w:spacing w:after="0"/>
        <w:rPr>
          <w:rFonts w:cs="Arial"/>
          <w:highlight w:val="yellow"/>
        </w:rPr>
      </w:pPr>
    </w:p>
    <w:p w14:paraId="2F430722" w14:textId="77777777" w:rsidR="000F78F1" w:rsidRPr="000F78F1" w:rsidRDefault="000F78F1" w:rsidP="000F78F1">
      <w:pPr>
        <w:spacing w:after="0"/>
        <w:rPr>
          <w:rFonts w:cs="Arial"/>
          <w:highlight w:val="yellow"/>
        </w:rPr>
      </w:pPr>
    </w:p>
    <w:p w14:paraId="39757420" w14:textId="77777777" w:rsidR="000F78F1" w:rsidRPr="000F78F1" w:rsidRDefault="000F78F1" w:rsidP="000F78F1">
      <w:pPr>
        <w:spacing w:after="0"/>
        <w:rPr>
          <w:rFonts w:cs="Arial"/>
          <w:highlight w:val="yellow"/>
        </w:rPr>
      </w:pPr>
    </w:p>
    <w:p w14:paraId="69F4C21E" w14:textId="77777777" w:rsidR="000F78F1" w:rsidRPr="000F78F1" w:rsidRDefault="000F78F1" w:rsidP="000F78F1">
      <w:pPr>
        <w:spacing w:after="0"/>
        <w:rPr>
          <w:rFonts w:cs="Arial"/>
          <w:highlight w:val="yellow"/>
        </w:rPr>
      </w:pPr>
    </w:p>
    <w:p w14:paraId="6DC7F893" w14:textId="77777777" w:rsidR="000F78F1" w:rsidRPr="000F78F1" w:rsidRDefault="000F78F1" w:rsidP="000F78F1">
      <w:pPr>
        <w:spacing w:after="0"/>
        <w:rPr>
          <w:rFonts w:cs="Arial"/>
          <w:highlight w:val="yellow"/>
        </w:rPr>
      </w:pPr>
    </w:p>
    <w:p w14:paraId="2B980D06" w14:textId="77777777" w:rsidR="000F78F1" w:rsidRPr="000F78F1" w:rsidRDefault="000F78F1" w:rsidP="000F78F1">
      <w:pPr>
        <w:spacing w:after="0"/>
        <w:rPr>
          <w:rFonts w:cs="Arial"/>
          <w:highlight w:val="yellow"/>
        </w:rPr>
      </w:pPr>
    </w:p>
    <w:p w14:paraId="03386F22" w14:textId="77777777" w:rsidR="000F78F1" w:rsidRPr="000F78F1" w:rsidRDefault="000F78F1" w:rsidP="000F78F1">
      <w:pPr>
        <w:spacing w:after="0"/>
        <w:rPr>
          <w:rFonts w:cs="Arial"/>
          <w:highlight w:val="yellow"/>
        </w:rPr>
      </w:pPr>
    </w:p>
    <w:p w14:paraId="270C1790" w14:textId="77777777" w:rsidR="000F78F1" w:rsidRPr="000F78F1" w:rsidRDefault="000F78F1" w:rsidP="000F78F1">
      <w:pPr>
        <w:spacing w:after="0"/>
        <w:rPr>
          <w:rFonts w:cs="Arial"/>
          <w:highlight w:val="yellow"/>
        </w:rPr>
      </w:pPr>
    </w:p>
    <w:p w14:paraId="15F0A93D" w14:textId="77777777" w:rsidR="000F78F1" w:rsidRPr="000F78F1" w:rsidRDefault="000F78F1" w:rsidP="000F78F1">
      <w:pPr>
        <w:spacing w:after="0"/>
        <w:rPr>
          <w:rFonts w:cs="Arial"/>
          <w:highlight w:val="yellow"/>
        </w:rPr>
      </w:pPr>
    </w:p>
    <w:p w14:paraId="4C993CEF" w14:textId="77777777" w:rsidR="000F78F1" w:rsidRPr="000F78F1" w:rsidRDefault="000F78F1" w:rsidP="000F78F1">
      <w:pPr>
        <w:spacing w:after="0"/>
        <w:rPr>
          <w:rFonts w:cs="Arial"/>
          <w:highlight w:val="yellow"/>
        </w:rPr>
      </w:pPr>
    </w:p>
    <w:p w14:paraId="2DC38A5F" w14:textId="77777777" w:rsidR="000F78F1" w:rsidRPr="000F78F1" w:rsidRDefault="000F78F1" w:rsidP="000F78F1">
      <w:pPr>
        <w:spacing w:after="0"/>
        <w:rPr>
          <w:rFonts w:cs="Arial"/>
          <w:highlight w:val="yellow"/>
        </w:rPr>
      </w:pPr>
    </w:p>
    <w:p w14:paraId="41A0276B" w14:textId="77777777" w:rsidR="000F78F1" w:rsidRPr="000F78F1" w:rsidRDefault="000F78F1" w:rsidP="000F78F1">
      <w:pPr>
        <w:spacing w:after="0"/>
        <w:rPr>
          <w:rFonts w:cs="Arial"/>
          <w:highlight w:val="yellow"/>
        </w:rPr>
      </w:pPr>
    </w:p>
    <w:p w14:paraId="38150398" w14:textId="77777777" w:rsidR="000F78F1" w:rsidRPr="000F78F1" w:rsidRDefault="000F78F1" w:rsidP="000F78F1">
      <w:pPr>
        <w:spacing w:after="0"/>
        <w:rPr>
          <w:rFonts w:cs="Arial"/>
          <w:highlight w:val="yellow"/>
        </w:rPr>
      </w:pPr>
    </w:p>
    <w:p w14:paraId="1937C240" w14:textId="77777777" w:rsidR="000F78F1" w:rsidRPr="000F78F1" w:rsidRDefault="000F78F1" w:rsidP="000F78F1">
      <w:pPr>
        <w:spacing w:after="0"/>
        <w:rPr>
          <w:rFonts w:cs="Arial"/>
          <w:highlight w:val="yellow"/>
        </w:rPr>
      </w:pPr>
    </w:p>
    <w:p w14:paraId="0B23D789" w14:textId="77777777" w:rsidR="000F78F1" w:rsidRPr="000F78F1" w:rsidRDefault="000F78F1" w:rsidP="000F78F1">
      <w:pPr>
        <w:spacing w:after="0"/>
        <w:rPr>
          <w:rFonts w:cs="Arial"/>
          <w:highlight w:val="yellow"/>
        </w:rPr>
      </w:pPr>
    </w:p>
    <w:p w14:paraId="791064C7" w14:textId="77777777" w:rsidR="000F78F1" w:rsidRPr="000F78F1" w:rsidRDefault="000F78F1" w:rsidP="000F78F1">
      <w:pPr>
        <w:spacing w:after="0"/>
        <w:rPr>
          <w:rFonts w:cs="Arial"/>
          <w:highlight w:val="yellow"/>
        </w:rPr>
      </w:pPr>
    </w:p>
    <w:p w14:paraId="04F72779" w14:textId="77777777" w:rsidR="000F78F1" w:rsidRPr="000F78F1" w:rsidRDefault="000F78F1" w:rsidP="000F78F1">
      <w:pPr>
        <w:spacing w:after="0"/>
        <w:rPr>
          <w:rFonts w:cs="Arial"/>
          <w:highlight w:val="yellow"/>
        </w:rPr>
      </w:pPr>
    </w:p>
    <w:p w14:paraId="18B20621" w14:textId="77777777" w:rsidR="000F78F1" w:rsidRPr="000F78F1" w:rsidRDefault="000F78F1" w:rsidP="000F78F1">
      <w:pPr>
        <w:spacing w:after="0"/>
        <w:rPr>
          <w:rFonts w:cs="Arial"/>
          <w:highlight w:val="yellow"/>
        </w:rPr>
      </w:pPr>
    </w:p>
    <w:p w14:paraId="00A1EA2C" w14:textId="77777777" w:rsidR="000F78F1" w:rsidRPr="000F78F1" w:rsidRDefault="000F78F1" w:rsidP="000F78F1">
      <w:pPr>
        <w:spacing w:after="0"/>
        <w:rPr>
          <w:rFonts w:cs="Arial"/>
          <w:highlight w:val="yellow"/>
        </w:rPr>
      </w:pPr>
    </w:p>
    <w:p w14:paraId="0CF34DD4" w14:textId="0FA18BA2" w:rsidR="000F78F1" w:rsidRDefault="000F78F1" w:rsidP="000F78F1">
      <w:pPr>
        <w:spacing w:after="0"/>
        <w:rPr>
          <w:rFonts w:cs="Arial"/>
          <w:highlight w:val="yellow"/>
        </w:rPr>
      </w:pPr>
    </w:p>
    <w:p w14:paraId="43768039" w14:textId="77777777" w:rsidR="000F78F1" w:rsidRPr="000F78F1" w:rsidRDefault="000F78F1" w:rsidP="000F78F1">
      <w:pPr>
        <w:spacing w:after="0"/>
        <w:rPr>
          <w:rFonts w:cs="Arial"/>
          <w:highlight w:val="yellow"/>
        </w:rPr>
      </w:pPr>
    </w:p>
    <w:p w14:paraId="6CFD88DE" w14:textId="77777777" w:rsidR="000F78F1" w:rsidRPr="000F78F1" w:rsidRDefault="000F78F1" w:rsidP="000F78F1">
      <w:pPr>
        <w:spacing w:after="0"/>
        <w:rPr>
          <w:rFonts w:cs="Arial"/>
          <w:highlight w:val="yellow"/>
        </w:rPr>
      </w:pPr>
    </w:p>
    <w:p w14:paraId="55789818" w14:textId="77777777" w:rsidR="000F78F1" w:rsidRPr="000F78F1" w:rsidRDefault="000F78F1" w:rsidP="000F78F1">
      <w:pPr>
        <w:numPr>
          <w:ilvl w:val="0"/>
          <w:numId w:val="5"/>
        </w:numPr>
        <w:autoSpaceDE/>
        <w:autoSpaceDN/>
        <w:adjustRightInd/>
        <w:spacing w:after="0" w:line="259" w:lineRule="auto"/>
        <w:contextualSpacing/>
        <w:rPr>
          <w:rFonts w:cs="Arial"/>
          <w:b/>
          <w:u w:val="single"/>
        </w:rPr>
      </w:pPr>
      <w:r w:rsidRPr="000F78F1">
        <w:rPr>
          <w:rFonts w:cs="Arial"/>
          <w:b/>
          <w:u w:val="single"/>
        </w:rPr>
        <w:lastRenderedPageBreak/>
        <w:t>Chief Executive Services</w:t>
      </w:r>
    </w:p>
    <w:p w14:paraId="0E6FBCD8" w14:textId="77777777" w:rsidR="000F78F1" w:rsidRPr="000F78F1" w:rsidRDefault="000F78F1" w:rsidP="000F78F1">
      <w:pPr>
        <w:spacing w:after="0"/>
        <w:textAlignment w:val="baseline"/>
        <w:rPr>
          <w:rFonts w:ascii="Segoe UI" w:eastAsia="Times New Roman" w:hAnsi="Segoe UI" w:cs="Segoe UI"/>
          <w:sz w:val="18"/>
          <w:szCs w:val="18"/>
          <w:lang w:eastAsia="en-GB"/>
        </w:rPr>
      </w:pPr>
    </w:p>
    <w:tbl>
      <w:tblPr>
        <w:tblW w:w="9021" w:type="dxa"/>
        <w:tblInd w:w="113" w:type="dxa"/>
        <w:tblLook w:val="04A0" w:firstRow="1" w:lastRow="0" w:firstColumn="1" w:lastColumn="0" w:noHBand="0" w:noVBand="1"/>
      </w:tblPr>
      <w:tblGrid>
        <w:gridCol w:w="3757"/>
        <w:gridCol w:w="905"/>
        <w:gridCol w:w="1050"/>
        <w:gridCol w:w="1050"/>
        <w:gridCol w:w="1050"/>
        <w:gridCol w:w="1209"/>
      </w:tblGrid>
      <w:tr w:rsidR="000F78F1" w:rsidRPr="000F78F1" w14:paraId="3ECCF4BE" w14:textId="77777777" w:rsidTr="00C11DAC">
        <w:trPr>
          <w:trHeight w:val="754"/>
        </w:trPr>
        <w:tc>
          <w:tcPr>
            <w:tcW w:w="3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AC6210"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Service Area</w:t>
            </w:r>
          </w:p>
        </w:tc>
        <w:tc>
          <w:tcPr>
            <w:tcW w:w="905" w:type="dxa"/>
            <w:tcBorders>
              <w:top w:val="single" w:sz="4" w:space="0" w:color="auto"/>
              <w:left w:val="nil"/>
              <w:bottom w:val="single" w:sz="4" w:space="0" w:color="auto"/>
              <w:right w:val="single" w:sz="4" w:space="0" w:color="auto"/>
            </w:tcBorders>
            <w:shd w:val="clear" w:color="000000" w:fill="D9D9D9"/>
            <w:vAlign w:val="center"/>
            <w:hideMark/>
          </w:tcPr>
          <w:p w14:paraId="433AF779"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834B9F1"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xml:space="preserve">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9CE3C5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7EE0E74"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Net Forecast Variance</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14:paraId="32AD561A"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Q1 Variance</w:t>
            </w:r>
          </w:p>
        </w:tc>
      </w:tr>
      <w:tr w:rsidR="000F78F1" w:rsidRPr="000F78F1" w14:paraId="19B5E40E" w14:textId="77777777" w:rsidTr="00C11DAC">
        <w:trPr>
          <w:trHeight w:val="295"/>
        </w:trPr>
        <w:tc>
          <w:tcPr>
            <w:tcW w:w="3757" w:type="dxa"/>
            <w:tcBorders>
              <w:top w:val="nil"/>
              <w:left w:val="single" w:sz="8" w:space="0" w:color="auto"/>
              <w:bottom w:val="single" w:sz="4" w:space="0" w:color="auto"/>
              <w:right w:val="single" w:sz="4" w:space="0" w:color="auto"/>
            </w:tcBorders>
            <w:shd w:val="clear" w:color="000000" w:fill="D9D9D9"/>
            <w:vAlign w:val="center"/>
            <w:hideMark/>
          </w:tcPr>
          <w:p w14:paraId="57D5F9EF"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 </w:t>
            </w:r>
          </w:p>
        </w:tc>
        <w:tc>
          <w:tcPr>
            <w:tcW w:w="905" w:type="dxa"/>
            <w:tcBorders>
              <w:top w:val="nil"/>
              <w:left w:val="nil"/>
              <w:bottom w:val="single" w:sz="4" w:space="0" w:color="auto"/>
              <w:right w:val="single" w:sz="4" w:space="0" w:color="auto"/>
            </w:tcBorders>
            <w:shd w:val="clear" w:color="000000" w:fill="D9D9D9"/>
            <w:vAlign w:val="center"/>
            <w:hideMark/>
          </w:tcPr>
          <w:p w14:paraId="46E228A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6D3E7EE8"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11978E3C"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14:paraId="7E384253" w14:textId="77777777" w:rsidR="000F78F1" w:rsidRPr="000F78F1" w:rsidRDefault="000F78F1" w:rsidP="000F78F1">
            <w:pPr>
              <w:autoSpaceDE/>
              <w:autoSpaceDN/>
              <w:adjustRightInd/>
              <w:spacing w:after="0"/>
              <w:jc w:val="center"/>
              <w:rPr>
                <w:rFonts w:eastAsia="Times New Roman" w:cs="Arial"/>
                <w:b/>
                <w:bCs/>
                <w:sz w:val="20"/>
                <w:szCs w:val="20"/>
                <w:lang w:eastAsia="en-GB"/>
              </w:rPr>
            </w:pPr>
            <w:r w:rsidRPr="000F78F1">
              <w:rPr>
                <w:rFonts w:eastAsia="Times New Roman" w:cs="Arial"/>
                <w:b/>
                <w:bCs/>
                <w:sz w:val="20"/>
                <w:szCs w:val="20"/>
                <w:lang w:eastAsia="en-GB"/>
              </w:rPr>
              <w:t>%</w:t>
            </w:r>
          </w:p>
        </w:tc>
        <w:tc>
          <w:tcPr>
            <w:tcW w:w="1209" w:type="dxa"/>
            <w:tcBorders>
              <w:top w:val="nil"/>
              <w:left w:val="nil"/>
              <w:bottom w:val="single" w:sz="4" w:space="0" w:color="auto"/>
              <w:right w:val="single" w:sz="4" w:space="0" w:color="auto"/>
            </w:tcBorders>
            <w:shd w:val="clear" w:color="000000" w:fill="D9D9D9"/>
            <w:vAlign w:val="center"/>
            <w:hideMark/>
          </w:tcPr>
          <w:p w14:paraId="4F5562A3" w14:textId="77777777" w:rsidR="000F78F1" w:rsidRPr="000F78F1" w:rsidRDefault="000F78F1" w:rsidP="000F78F1">
            <w:pPr>
              <w:autoSpaceDE/>
              <w:autoSpaceDN/>
              <w:adjustRightInd/>
              <w:spacing w:after="0"/>
              <w:jc w:val="center"/>
              <w:rPr>
                <w:rFonts w:eastAsia="Times New Roman" w:cs="Arial"/>
                <w:b/>
                <w:bCs/>
                <w:color w:val="auto"/>
                <w:sz w:val="20"/>
                <w:szCs w:val="20"/>
                <w:lang w:eastAsia="en-GB"/>
              </w:rPr>
            </w:pPr>
            <w:r w:rsidRPr="000F78F1">
              <w:rPr>
                <w:rFonts w:eastAsia="Times New Roman" w:cs="Arial"/>
                <w:b/>
                <w:bCs/>
                <w:color w:val="auto"/>
                <w:sz w:val="20"/>
                <w:szCs w:val="20"/>
                <w:lang w:eastAsia="en-GB"/>
              </w:rPr>
              <w:t>£m</w:t>
            </w:r>
          </w:p>
        </w:tc>
      </w:tr>
      <w:tr w:rsidR="000F78F1" w:rsidRPr="000F78F1" w14:paraId="1C62D200" w14:textId="77777777" w:rsidTr="00C11DAC">
        <w:trPr>
          <w:trHeight w:val="295"/>
        </w:trPr>
        <w:tc>
          <w:tcPr>
            <w:tcW w:w="3757" w:type="dxa"/>
            <w:tcBorders>
              <w:top w:val="nil"/>
              <w:left w:val="single" w:sz="8" w:space="0" w:color="auto"/>
              <w:bottom w:val="single" w:sz="4" w:space="0" w:color="auto"/>
              <w:right w:val="single" w:sz="4" w:space="0" w:color="auto"/>
            </w:tcBorders>
            <w:shd w:val="clear" w:color="000000" w:fill="D9D9D9"/>
            <w:vAlign w:val="center"/>
            <w:hideMark/>
          </w:tcPr>
          <w:p w14:paraId="71FAA295"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Corporate Budgets - Pensions and Apprenticeship Levy</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373C227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11.599</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9041910"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12.542</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D4233C2"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0.943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FC8751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8.13%</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14:paraId="4841B8FE"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-1.956</w:t>
            </w:r>
          </w:p>
        </w:tc>
      </w:tr>
      <w:tr w:rsidR="000F78F1" w:rsidRPr="000F78F1" w14:paraId="046C4090" w14:textId="77777777" w:rsidTr="00C11DAC">
        <w:trPr>
          <w:trHeight w:val="295"/>
        </w:trPr>
        <w:tc>
          <w:tcPr>
            <w:tcW w:w="3757" w:type="dxa"/>
            <w:tcBorders>
              <w:top w:val="nil"/>
              <w:left w:val="single" w:sz="8" w:space="0" w:color="auto"/>
              <w:bottom w:val="single" w:sz="4" w:space="0" w:color="auto"/>
              <w:right w:val="single" w:sz="4" w:space="0" w:color="auto"/>
            </w:tcBorders>
            <w:shd w:val="clear" w:color="000000" w:fill="D9D9D9"/>
            <w:vAlign w:val="center"/>
            <w:hideMark/>
          </w:tcPr>
          <w:p w14:paraId="161F08CB"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Corporate Budgets - Funding and Grants</w:t>
            </w:r>
          </w:p>
        </w:tc>
        <w:tc>
          <w:tcPr>
            <w:tcW w:w="905" w:type="dxa"/>
            <w:tcBorders>
              <w:top w:val="nil"/>
              <w:left w:val="nil"/>
              <w:bottom w:val="single" w:sz="4" w:space="0" w:color="auto"/>
              <w:right w:val="single" w:sz="4" w:space="0" w:color="auto"/>
            </w:tcBorders>
            <w:shd w:val="clear" w:color="auto" w:fill="auto"/>
            <w:vAlign w:val="center"/>
            <w:hideMark/>
          </w:tcPr>
          <w:p w14:paraId="3FA10F77"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-18.446</w:t>
            </w:r>
          </w:p>
        </w:tc>
        <w:tc>
          <w:tcPr>
            <w:tcW w:w="1050" w:type="dxa"/>
            <w:tcBorders>
              <w:top w:val="nil"/>
              <w:left w:val="nil"/>
              <w:bottom w:val="single" w:sz="4" w:space="0" w:color="auto"/>
              <w:right w:val="single" w:sz="4" w:space="0" w:color="auto"/>
            </w:tcBorders>
            <w:shd w:val="clear" w:color="auto" w:fill="auto"/>
            <w:vAlign w:val="center"/>
            <w:hideMark/>
          </w:tcPr>
          <w:p w14:paraId="20DB1928"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-18.446</w:t>
            </w:r>
          </w:p>
        </w:tc>
        <w:tc>
          <w:tcPr>
            <w:tcW w:w="1050" w:type="dxa"/>
            <w:tcBorders>
              <w:top w:val="nil"/>
              <w:left w:val="nil"/>
              <w:bottom w:val="single" w:sz="4" w:space="0" w:color="auto"/>
              <w:right w:val="single" w:sz="4" w:space="0" w:color="auto"/>
            </w:tcBorders>
            <w:shd w:val="clear" w:color="000000" w:fill="D9D9D9"/>
            <w:vAlign w:val="center"/>
            <w:hideMark/>
          </w:tcPr>
          <w:p w14:paraId="1060CD9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6CBC5E0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w:t>
            </w:r>
          </w:p>
        </w:tc>
        <w:tc>
          <w:tcPr>
            <w:tcW w:w="1209" w:type="dxa"/>
            <w:tcBorders>
              <w:top w:val="nil"/>
              <w:left w:val="nil"/>
              <w:bottom w:val="single" w:sz="4" w:space="0" w:color="auto"/>
              <w:right w:val="single" w:sz="4" w:space="0" w:color="auto"/>
            </w:tcBorders>
            <w:shd w:val="clear" w:color="000000" w:fill="D9D9D9"/>
            <w:vAlign w:val="center"/>
            <w:hideMark/>
          </w:tcPr>
          <w:p w14:paraId="116FADD3"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4D221632" w14:textId="77777777" w:rsidTr="00C11DAC">
        <w:trPr>
          <w:trHeight w:val="295"/>
        </w:trPr>
        <w:tc>
          <w:tcPr>
            <w:tcW w:w="3757" w:type="dxa"/>
            <w:tcBorders>
              <w:top w:val="nil"/>
              <w:left w:val="single" w:sz="8" w:space="0" w:color="auto"/>
              <w:bottom w:val="single" w:sz="4" w:space="0" w:color="auto"/>
              <w:right w:val="single" w:sz="4" w:space="0" w:color="auto"/>
            </w:tcBorders>
            <w:shd w:val="clear" w:color="000000" w:fill="D9D9D9"/>
            <w:vAlign w:val="center"/>
            <w:hideMark/>
          </w:tcPr>
          <w:p w14:paraId="47F57DAC"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Corporate Budgets - Treasury Management</w:t>
            </w:r>
          </w:p>
        </w:tc>
        <w:tc>
          <w:tcPr>
            <w:tcW w:w="905" w:type="dxa"/>
            <w:tcBorders>
              <w:top w:val="nil"/>
              <w:left w:val="nil"/>
              <w:bottom w:val="single" w:sz="4" w:space="0" w:color="auto"/>
              <w:right w:val="single" w:sz="4" w:space="0" w:color="auto"/>
            </w:tcBorders>
            <w:shd w:val="clear" w:color="auto" w:fill="auto"/>
            <w:vAlign w:val="center"/>
            <w:hideMark/>
          </w:tcPr>
          <w:p w14:paraId="2FE3138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30.184</w:t>
            </w:r>
          </w:p>
        </w:tc>
        <w:tc>
          <w:tcPr>
            <w:tcW w:w="1050" w:type="dxa"/>
            <w:tcBorders>
              <w:top w:val="nil"/>
              <w:left w:val="nil"/>
              <w:bottom w:val="single" w:sz="4" w:space="0" w:color="auto"/>
              <w:right w:val="single" w:sz="4" w:space="0" w:color="auto"/>
            </w:tcBorders>
            <w:shd w:val="clear" w:color="auto" w:fill="auto"/>
            <w:vAlign w:val="center"/>
            <w:hideMark/>
          </w:tcPr>
          <w:p w14:paraId="3570753D"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30.184</w:t>
            </w:r>
          </w:p>
        </w:tc>
        <w:tc>
          <w:tcPr>
            <w:tcW w:w="1050" w:type="dxa"/>
            <w:tcBorders>
              <w:top w:val="nil"/>
              <w:left w:val="nil"/>
              <w:bottom w:val="single" w:sz="4" w:space="0" w:color="auto"/>
              <w:right w:val="single" w:sz="4" w:space="0" w:color="auto"/>
            </w:tcBorders>
            <w:shd w:val="clear" w:color="000000" w:fill="D9D9D9"/>
            <w:vAlign w:val="center"/>
            <w:hideMark/>
          </w:tcPr>
          <w:p w14:paraId="364E672C"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78D8DDCB"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0.00%</w:t>
            </w:r>
          </w:p>
        </w:tc>
        <w:tc>
          <w:tcPr>
            <w:tcW w:w="1209" w:type="dxa"/>
            <w:tcBorders>
              <w:top w:val="nil"/>
              <w:left w:val="nil"/>
              <w:bottom w:val="single" w:sz="4" w:space="0" w:color="auto"/>
              <w:right w:val="single" w:sz="4" w:space="0" w:color="auto"/>
            </w:tcBorders>
            <w:shd w:val="clear" w:color="000000" w:fill="D9D9D9"/>
            <w:vAlign w:val="center"/>
            <w:hideMark/>
          </w:tcPr>
          <w:p w14:paraId="32C1BAA5"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0.000</w:t>
            </w:r>
          </w:p>
        </w:tc>
      </w:tr>
      <w:tr w:rsidR="000F78F1" w:rsidRPr="000F78F1" w14:paraId="26A97EE2" w14:textId="77777777" w:rsidTr="00C11DAC">
        <w:trPr>
          <w:trHeight w:val="295"/>
        </w:trPr>
        <w:tc>
          <w:tcPr>
            <w:tcW w:w="3757" w:type="dxa"/>
            <w:tcBorders>
              <w:top w:val="nil"/>
              <w:left w:val="single" w:sz="8" w:space="0" w:color="auto"/>
              <w:bottom w:val="single" w:sz="4" w:space="0" w:color="auto"/>
              <w:right w:val="single" w:sz="4" w:space="0" w:color="auto"/>
            </w:tcBorders>
            <w:shd w:val="clear" w:color="000000" w:fill="D9D9D9"/>
            <w:vAlign w:val="center"/>
            <w:hideMark/>
          </w:tcPr>
          <w:p w14:paraId="2FBA563B" w14:textId="77777777" w:rsidR="000F78F1" w:rsidRPr="000F78F1" w:rsidRDefault="000F78F1" w:rsidP="000F78F1">
            <w:pPr>
              <w:autoSpaceDE/>
              <w:autoSpaceDN/>
              <w:adjustRightInd/>
              <w:spacing w:after="0"/>
              <w:jc w:val="left"/>
              <w:rPr>
                <w:rFonts w:eastAsia="Times New Roman" w:cs="Arial"/>
                <w:sz w:val="20"/>
                <w:szCs w:val="20"/>
                <w:lang w:eastAsia="en-GB"/>
              </w:rPr>
            </w:pPr>
            <w:r w:rsidRPr="000F78F1">
              <w:rPr>
                <w:rFonts w:eastAsia="Times New Roman" w:cs="Arial"/>
                <w:sz w:val="20"/>
                <w:szCs w:val="20"/>
                <w:lang w:eastAsia="en-GB"/>
              </w:rPr>
              <w:t>Chief Executive Services</w:t>
            </w:r>
          </w:p>
        </w:tc>
        <w:tc>
          <w:tcPr>
            <w:tcW w:w="905" w:type="dxa"/>
            <w:tcBorders>
              <w:top w:val="nil"/>
              <w:left w:val="nil"/>
              <w:bottom w:val="single" w:sz="4" w:space="0" w:color="auto"/>
              <w:right w:val="single" w:sz="4" w:space="0" w:color="auto"/>
            </w:tcBorders>
            <w:shd w:val="clear" w:color="auto" w:fill="auto"/>
            <w:vAlign w:val="center"/>
            <w:hideMark/>
          </w:tcPr>
          <w:p w14:paraId="1A8AD5A6"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3.250</w:t>
            </w:r>
          </w:p>
        </w:tc>
        <w:tc>
          <w:tcPr>
            <w:tcW w:w="1050" w:type="dxa"/>
            <w:tcBorders>
              <w:top w:val="nil"/>
              <w:left w:val="nil"/>
              <w:bottom w:val="single" w:sz="4" w:space="0" w:color="auto"/>
              <w:right w:val="single" w:sz="4" w:space="0" w:color="auto"/>
            </w:tcBorders>
            <w:shd w:val="clear" w:color="auto" w:fill="auto"/>
            <w:vAlign w:val="center"/>
            <w:hideMark/>
          </w:tcPr>
          <w:p w14:paraId="5B330E54"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2.341</w:t>
            </w:r>
          </w:p>
        </w:tc>
        <w:tc>
          <w:tcPr>
            <w:tcW w:w="1050" w:type="dxa"/>
            <w:tcBorders>
              <w:top w:val="nil"/>
              <w:left w:val="nil"/>
              <w:bottom w:val="single" w:sz="4" w:space="0" w:color="auto"/>
              <w:right w:val="single" w:sz="4" w:space="0" w:color="auto"/>
            </w:tcBorders>
            <w:shd w:val="clear" w:color="000000" w:fill="D9D9D9"/>
            <w:vAlign w:val="center"/>
            <w:hideMark/>
          </w:tcPr>
          <w:p w14:paraId="50B9A23A"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-0.909</w:t>
            </w:r>
          </w:p>
        </w:tc>
        <w:tc>
          <w:tcPr>
            <w:tcW w:w="1050" w:type="dxa"/>
            <w:tcBorders>
              <w:top w:val="nil"/>
              <w:left w:val="nil"/>
              <w:bottom w:val="single" w:sz="4" w:space="0" w:color="auto"/>
              <w:right w:val="single" w:sz="4" w:space="0" w:color="auto"/>
            </w:tcBorders>
            <w:shd w:val="clear" w:color="auto" w:fill="auto"/>
            <w:vAlign w:val="center"/>
            <w:hideMark/>
          </w:tcPr>
          <w:p w14:paraId="7C91729E" w14:textId="77777777" w:rsidR="000F78F1" w:rsidRPr="000F78F1" w:rsidRDefault="000F78F1" w:rsidP="000F78F1">
            <w:pPr>
              <w:autoSpaceDE/>
              <w:autoSpaceDN/>
              <w:adjustRightInd/>
              <w:spacing w:after="0"/>
              <w:jc w:val="right"/>
              <w:rPr>
                <w:rFonts w:eastAsia="Times New Roman" w:cs="Arial"/>
                <w:sz w:val="20"/>
                <w:szCs w:val="20"/>
                <w:lang w:eastAsia="en-GB"/>
              </w:rPr>
            </w:pPr>
            <w:r w:rsidRPr="000F78F1">
              <w:rPr>
                <w:rFonts w:eastAsia="Times New Roman" w:cs="Arial"/>
                <w:sz w:val="20"/>
                <w:szCs w:val="20"/>
                <w:lang w:eastAsia="en-GB"/>
              </w:rPr>
              <w:t>-27.97%</w:t>
            </w:r>
          </w:p>
        </w:tc>
        <w:tc>
          <w:tcPr>
            <w:tcW w:w="1209" w:type="dxa"/>
            <w:tcBorders>
              <w:top w:val="nil"/>
              <w:left w:val="nil"/>
              <w:bottom w:val="single" w:sz="4" w:space="0" w:color="auto"/>
              <w:right w:val="single" w:sz="4" w:space="0" w:color="auto"/>
            </w:tcBorders>
            <w:shd w:val="clear" w:color="000000" w:fill="D9D9D9"/>
            <w:vAlign w:val="center"/>
            <w:hideMark/>
          </w:tcPr>
          <w:p w14:paraId="72E718A6" w14:textId="77777777" w:rsidR="000F78F1" w:rsidRPr="000F78F1" w:rsidRDefault="000F78F1" w:rsidP="000F78F1">
            <w:pPr>
              <w:autoSpaceDE/>
              <w:autoSpaceDN/>
              <w:adjustRightInd/>
              <w:spacing w:after="0"/>
              <w:jc w:val="right"/>
              <w:rPr>
                <w:rFonts w:eastAsia="Times New Roman" w:cs="Arial"/>
                <w:color w:val="auto"/>
                <w:sz w:val="20"/>
                <w:szCs w:val="20"/>
                <w:lang w:eastAsia="en-GB"/>
              </w:rPr>
            </w:pPr>
            <w:r w:rsidRPr="000F78F1">
              <w:rPr>
                <w:rFonts w:eastAsia="Times New Roman" w:cs="Arial"/>
                <w:color w:val="auto"/>
                <w:sz w:val="20"/>
                <w:szCs w:val="20"/>
                <w:lang w:eastAsia="en-GB"/>
              </w:rPr>
              <w:t>0.136</w:t>
            </w:r>
          </w:p>
        </w:tc>
      </w:tr>
      <w:tr w:rsidR="000F78F1" w:rsidRPr="000F78F1" w14:paraId="230D8A86" w14:textId="77777777" w:rsidTr="00C11DAC">
        <w:trPr>
          <w:trHeight w:val="310"/>
        </w:trPr>
        <w:tc>
          <w:tcPr>
            <w:tcW w:w="3757" w:type="dxa"/>
            <w:tcBorders>
              <w:top w:val="nil"/>
              <w:left w:val="single" w:sz="8" w:space="0" w:color="auto"/>
              <w:bottom w:val="single" w:sz="8" w:space="0" w:color="auto"/>
              <w:right w:val="single" w:sz="4" w:space="0" w:color="auto"/>
            </w:tcBorders>
            <w:shd w:val="clear" w:color="000000" w:fill="D9D9D9"/>
            <w:vAlign w:val="center"/>
            <w:hideMark/>
          </w:tcPr>
          <w:p w14:paraId="4F757134" w14:textId="77777777" w:rsidR="000F78F1" w:rsidRPr="000F78F1" w:rsidRDefault="000F78F1" w:rsidP="000F78F1">
            <w:pPr>
              <w:autoSpaceDE/>
              <w:autoSpaceDN/>
              <w:adjustRightInd/>
              <w:spacing w:after="0"/>
              <w:jc w:val="left"/>
              <w:rPr>
                <w:rFonts w:eastAsia="Times New Roman" w:cs="Arial"/>
                <w:b/>
                <w:bCs/>
                <w:sz w:val="20"/>
                <w:szCs w:val="20"/>
                <w:lang w:eastAsia="en-GB"/>
              </w:rPr>
            </w:pPr>
            <w:r w:rsidRPr="000F78F1">
              <w:rPr>
                <w:rFonts w:eastAsia="Times New Roman" w:cs="Arial"/>
                <w:b/>
                <w:bCs/>
                <w:sz w:val="20"/>
                <w:szCs w:val="20"/>
                <w:lang w:eastAsia="en-GB"/>
              </w:rPr>
              <w:t>Total Chief Executive Services</w:t>
            </w:r>
          </w:p>
        </w:tc>
        <w:tc>
          <w:tcPr>
            <w:tcW w:w="905" w:type="dxa"/>
            <w:tcBorders>
              <w:top w:val="nil"/>
              <w:left w:val="nil"/>
              <w:bottom w:val="single" w:sz="8" w:space="0" w:color="auto"/>
              <w:right w:val="single" w:sz="4" w:space="0" w:color="auto"/>
            </w:tcBorders>
            <w:shd w:val="clear" w:color="000000" w:fill="D9D9D9"/>
            <w:vAlign w:val="center"/>
            <w:hideMark/>
          </w:tcPr>
          <w:p w14:paraId="6784AE35"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26.587</w:t>
            </w:r>
          </w:p>
        </w:tc>
        <w:tc>
          <w:tcPr>
            <w:tcW w:w="1050" w:type="dxa"/>
            <w:tcBorders>
              <w:top w:val="nil"/>
              <w:left w:val="nil"/>
              <w:bottom w:val="single" w:sz="8" w:space="0" w:color="auto"/>
              <w:right w:val="single" w:sz="4" w:space="0" w:color="auto"/>
            </w:tcBorders>
            <w:shd w:val="clear" w:color="000000" w:fill="D9D9D9"/>
            <w:vAlign w:val="center"/>
            <w:hideMark/>
          </w:tcPr>
          <w:p w14:paraId="681C0AAE"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26.621</w:t>
            </w:r>
          </w:p>
        </w:tc>
        <w:tc>
          <w:tcPr>
            <w:tcW w:w="1050" w:type="dxa"/>
            <w:tcBorders>
              <w:top w:val="nil"/>
              <w:left w:val="nil"/>
              <w:bottom w:val="single" w:sz="8" w:space="0" w:color="auto"/>
              <w:right w:val="single" w:sz="4" w:space="0" w:color="auto"/>
            </w:tcBorders>
            <w:shd w:val="clear" w:color="000000" w:fill="D9D9D9"/>
            <w:vAlign w:val="center"/>
            <w:hideMark/>
          </w:tcPr>
          <w:p w14:paraId="16D2B6D7"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0.034</w:t>
            </w:r>
          </w:p>
        </w:tc>
        <w:tc>
          <w:tcPr>
            <w:tcW w:w="1050" w:type="dxa"/>
            <w:tcBorders>
              <w:top w:val="nil"/>
              <w:left w:val="nil"/>
              <w:bottom w:val="single" w:sz="8" w:space="0" w:color="auto"/>
              <w:right w:val="single" w:sz="4" w:space="0" w:color="auto"/>
            </w:tcBorders>
            <w:shd w:val="clear" w:color="000000" w:fill="D9D9D9"/>
            <w:vAlign w:val="center"/>
            <w:hideMark/>
          </w:tcPr>
          <w:p w14:paraId="2CBD12B9"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0.13%</w:t>
            </w:r>
          </w:p>
        </w:tc>
        <w:tc>
          <w:tcPr>
            <w:tcW w:w="1209" w:type="dxa"/>
            <w:tcBorders>
              <w:top w:val="nil"/>
              <w:left w:val="nil"/>
              <w:bottom w:val="single" w:sz="8" w:space="0" w:color="auto"/>
              <w:right w:val="single" w:sz="4" w:space="0" w:color="auto"/>
            </w:tcBorders>
            <w:shd w:val="clear" w:color="000000" w:fill="D9D9D9"/>
            <w:vAlign w:val="center"/>
            <w:hideMark/>
          </w:tcPr>
          <w:p w14:paraId="6C841B05" w14:textId="77777777" w:rsidR="000F78F1" w:rsidRPr="000F78F1" w:rsidRDefault="000F78F1" w:rsidP="000F78F1">
            <w:pPr>
              <w:autoSpaceDE/>
              <w:autoSpaceDN/>
              <w:adjustRightInd/>
              <w:spacing w:after="0"/>
              <w:jc w:val="right"/>
              <w:rPr>
                <w:rFonts w:eastAsia="Times New Roman" w:cs="Arial"/>
                <w:b/>
                <w:bCs/>
                <w:sz w:val="20"/>
                <w:szCs w:val="20"/>
                <w:lang w:eastAsia="en-GB"/>
              </w:rPr>
            </w:pPr>
            <w:r w:rsidRPr="000F78F1">
              <w:rPr>
                <w:rFonts w:eastAsia="Times New Roman" w:cs="Arial"/>
                <w:b/>
                <w:bCs/>
                <w:sz w:val="20"/>
                <w:szCs w:val="20"/>
                <w:lang w:eastAsia="en-GB"/>
              </w:rPr>
              <w:t>-1.820</w:t>
            </w:r>
          </w:p>
        </w:tc>
      </w:tr>
    </w:tbl>
    <w:p w14:paraId="59880C52"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34D973B" w14:textId="77777777" w:rsidR="000F78F1" w:rsidRPr="000F78F1" w:rsidRDefault="000F78F1" w:rsidP="000F78F1">
      <w:pPr>
        <w:tabs>
          <w:tab w:val="left" w:pos="426"/>
        </w:tabs>
        <w:spacing w:before="100" w:beforeAutospacing="1" w:after="100" w:afterAutospacing="1"/>
        <w:contextualSpacing/>
        <w:rPr>
          <w:rFonts w:cs="Arial"/>
        </w:rPr>
      </w:pPr>
      <w:r w:rsidRPr="000F78F1">
        <w:rPr>
          <w:rFonts w:cs="Arial"/>
        </w:rPr>
        <w:t>The budget for Chief Executive Services is £26.587m, the current forecast position is an overspend of £0.913m.</w:t>
      </w:r>
    </w:p>
    <w:p w14:paraId="62AF8C6C"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03AAEAD9" w14:textId="77777777" w:rsidR="000F78F1" w:rsidRPr="000F78F1" w:rsidRDefault="000F78F1" w:rsidP="000F78F1">
      <w:pPr>
        <w:tabs>
          <w:tab w:val="left" w:pos="426"/>
        </w:tabs>
        <w:spacing w:before="100" w:beforeAutospacing="1" w:after="100" w:afterAutospacing="1"/>
        <w:contextualSpacing/>
        <w:rPr>
          <w:rFonts w:eastAsia="Times New Roman" w:cs="Arial"/>
          <w:b/>
          <w:bCs/>
          <w:lang w:eastAsia="en-GB"/>
        </w:rPr>
      </w:pPr>
      <w:r w:rsidRPr="000F78F1">
        <w:rPr>
          <w:rFonts w:eastAsia="Times New Roman" w:cs="Arial"/>
          <w:b/>
          <w:bCs/>
          <w:lang w:eastAsia="en-GB"/>
        </w:rPr>
        <w:t>Corporate Budgets (Pensions &amp; Apprenticeship Levy) – Forecast overspend of £0.943m.</w:t>
      </w:r>
    </w:p>
    <w:p w14:paraId="557C495F" w14:textId="77777777" w:rsidR="000F78F1" w:rsidRPr="000F78F1" w:rsidRDefault="000F78F1" w:rsidP="000F78F1">
      <w:pPr>
        <w:tabs>
          <w:tab w:val="left" w:pos="426"/>
        </w:tabs>
        <w:spacing w:before="100" w:beforeAutospacing="1" w:after="100" w:afterAutospacing="1"/>
        <w:contextualSpacing/>
        <w:rPr>
          <w:rFonts w:cs="Arial"/>
        </w:rPr>
      </w:pPr>
      <w:r w:rsidRPr="000F78F1">
        <w:rPr>
          <w:rFonts w:cs="Arial"/>
          <w:shd w:val="clear" w:color="auto" w:fill="FFFFFF"/>
        </w:rPr>
        <w:t xml:space="preserve">The main reason for the movement and subsequent </w:t>
      </w:r>
      <w:proofErr w:type="gramStart"/>
      <w:r w:rsidRPr="000F78F1">
        <w:rPr>
          <w:rFonts w:cs="Arial"/>
          <w:shd w:val="clear" w:color="auto" w:fill="FFFFFF"/>
        </w:rPr>
        <w:t>overspend</w:t>
      </w:r>
      <w:proofErr w:type="gramEnd"/>
      <w:r w:rsidRPr="000F78F1">
        <w:rPr>
          <w:rFonts w:cs="Arial"/>
          <w:shd w:val="clear" w:color="auto" w:fill="FFFFFF"/>
        </w:rPr>
        <w:t xml:space="preserve"> is the inclusion of the amount owing (£2.9m) in relation to the pension prepayment for 2021/22. Whilst the Authority is making a saving </w:t>
      </w:r>
      <w:proofErr w:type="gramStart"/>
      <w:r w:rsidRPr="000F78F1">
        <w:rPr>
          <w:rFonts w:cs="Arial"/>
          <w:shd w:val="clear" w:color="auto" w:fill="FFFFFF"/>
        </w:rPr>
        <w:t>as a result of</w:t>
      </w:r>
      <w:proofErr w:type="gramEnd"/>
      <w:r w:rsidRPr="000F78F1">
        <w:rPr>
          <w:rFonts w:cs="Arial"/>
          <w:shd w:val="clear" w:color="auto" w:fill="FFFFFF"/>
        </w:rPr>
        <w:t xml:space="preserve"> the prepayment, the amount owed to the pension fund is because the prepayment was based on a lower estimated contribution level than actually needed with a top-up payment therefore being required. </w:t>
      </w:r>
    </w:p>
    <w:p w14:paraId="1C17AC96" w14:textId="77777777" w:rsidR="000F78F1" w:rsidRPr="000F78F1" w:rsidRDefault="000F78F1" w:rsidP="000F78F1">
      <w:pPr>
        <w:tabs>
          <w:tab w:val="left" w:pos="426"/>
        </w:tabs>
        <w:spacing w:before="100" w:beforeAutospacing="1" w:after="100" w:afterAutospacing="1"/>
        <w:contextualSpacing/>
        <w:rPr>
          <w:rFonts w:eastAsia="Times New Roman" w:cs="Arial"/>
          <w:b/>
          <w:bCs/>
          <w:lang w:eastAsia="en-GB"/>
        </w:rPr>
      </w:pPr>
    </w:p>
    <w:p w14:paraId="5344BF9F" w14:textId="77777777" w:rsidR="000F78F1" w:rsidRPr="000F78F1" w:rsidRDefault="000F78F1" w:rsidP="000F78F1">
      <w:pPr>
        <w:tabs>
          <w:tab w:val="left" w:pos="426"/>
        </w:tabs>
        <w:spacing w:before="100" w:beforeAutospacing="1" w:after="100" w:afterAutospacing="1"/>
        <w:contextualSpacing/>
        <w:rPr>
          <w:rFonts w:eastAsia="Times New Roman" w:cs="Arial"/>
          <w:bCs/>
          <w:lang w:eastAsia="en-GB"/>
        </w:rPr>
      </w:pPr>
      <w:r w:rsidRPr="000F78F1">
        <w:rPr>
          <w:rFonts w:eastAsia="Times New Roman" w:cs="Arial"/>
          <w:bCs/>
          <w:lang w:eastAsia="en-GB"/>
        </w:rPr>
        <w:t xml:space="preserve">The pressure noted above is offset by an underspend of c£2m on inherited pensions liabilities which are charged directly to Lancashire and not the pension fund. </w:t>
      </w:r>
    </w:p>
    <w:p w14:paraId="0DBFA2FF" w14:textId="77777777" w:rsidR="000F78F1" w:rsidRPr="00FD29C5" w:rsidRDefault="000F78F1" w:rsidP="000F78F1">
      <w:pPr>
        <w:spacing w:after="0"/>
        <w:rPr>
          <w:rFonts w:cs="Arial"/>
          <w:b/>
          <w:u w:val="single"/>
        </w:rPr>
      </w:pPr>
    </w:p>
    <w:p w14:paraId="0BDCD80C" w14:textId="0E1CB2EF" w:rsidR="000F78F1" w:rsidRPr="00FD29C5" w:rsidRDefault="00FD29C5" w:rsidP="00FD29C5">
      <w:pPr>
        <w:spacing w:after="0"/>
        <w:rPr>
          <w:b/>
          <w:bCs/>
        </w:rPr>
      </w:pPr>
      <w:r w:rsidRPr="00FD29C5">
        <w:rPr>
          <w:b/>
          <w:bCs/>
        </w:rPr>
        <w:t>Chief Executive Services – Forecast underspend of £0.909m</w:t>
      </w:r>
    </w:p>
    <w:p w14:paraId="3258FBCF" w14:textId="10074F5A" w:rsidR="000F78F1" w:rsidRPr="000F78F1" w:rsidRDefault="00FD29C5" w:rsidP="00FD29C5">
      <w:pPr>
        <w:spacing w:after="0"/>
        <w:rPr>
          <w:highlight w:val="yellow"/>
        </w:rPr>
      </w:pPr>
      <w:r>
        <w:t>A</w:t>
      </w:r>
      <w:r w:rsidRPr="00FD29C5">
        <w:t xml:space="preserve">n underspend </w:t>
      </w:r>
      <w:r>
        <w:t xml:space="preserve">is </w:t>
      </w:r>
      <w:r w:rsidRPr="00FD29C5">
        <w:t xml:space="preserve">forecast across the </w:t>
      </w:r>
      <w:r>
        <w:t>C</w:t>
      </w:r>
      <w:r w:rsidRPr="00FD29C5">
        <w:t xml:space="preserve">hief </w:t>
      </w:r>
      <w:r>
        <w:t>E</w:t>
      </w:r>
      <w:r w:rsidRPr="00FD29C5">
        <w:t>xecutive</w:t>
      </w:r>
      <w:r>
        <w:t xml:space="preserve"> Services </w:t>
      </w:r>
      <w:r w:rsidRPr="00FD29C5">
        <w:t>strategic budget of £0.9m.</w:t>
      </w:r>
    </w:p>
    <w:bookmarkEnd w:id="1"/>
    <w:p w14:paraId="1AC0F790" w14:textId="77777777" w:rsidR="000F78F1" w:rsidRPr="000F78F1" w:rsidRDefault="000F78F1" w:rsidP="000F78F1">
      <w:pPr>
        <w:autoSpaceDE/>
        <w:autoSpaceDN/>
        <w:adjustRightInd/>
        <w:contextualSpacing/>
        <w:jc w:val="left"/>
        <w:rPr>
          <w:rFonts w:cs="Arial"/>
          <w:i/>
          <w:iCs/>
          <w:lang w:eastAsia="en-GB"/>
        </w:rPr>
      </w:pPr>
    </w:p>
    <w:p w14:paraId="77E60E19" w14:textId="77777777" w:rsidR="000F78F1" w:rsidRPr="000F78F1" w:rsidRDefault="000F78F1" w:rsidP="000F78F1">
      <w:pPr>
        <w:tabs>
          <w:tab w:val="left" w:pos="567"/>
        </w:tabs>
        <w:autoSpaceDE/>
        <w:autoSpaceDN/>
        <w:adjustRightInd/>
        <w:spacing w:before="200"/>
        <w:jc w:val="left"/>
        <w:rPr>
          <w:rFonts w:eastAsia="Times New Roman" w:cs="Times New Roman"/>
          <w:b/>
          <w:bCs/>
          <w:color w:val="auto"/>
          <w:sz w:val="28"/>
          <w:szCs w:val="26"/>
        </w:rPr>
      </w:pPr>
    </w:p>
    <w:p w14:paraId="26B5F98E" w14:textId="2E3393A7" w:rsidR="00BB31E2" w:rsidRDefault="00BB31E2" w:rsidP="003B7520">
      <w:pPr>
        <w:pStyle w:val="Figurecaption"/>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7"/>
      <w:footerReference w:type="default" r:id="rId1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46D9" w14:textId="77777777" w:rsidR="00B66578" w:rsidRDefault="00B66578" w:rsidP="00124FDC">
      <w:pPr>
        <w:spacing w:after="0"/>
      </w:pPr>
      <w:r>
        <w:separator/>
      </w:r>
    </w:p>
  </w:endnote>
  <w:endnote w:type="continuationSeparator" w:id="0">
    <w:p w14:paraId="453002D8" w14:textId="77777777" w:rsidR="00B66578" w:rsidRDefault="00B6657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D8C0" w14:textId="77777777" w:rsidR="000F78F1" w:rsidRDefault="000F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4145BE">
    <w:pPr>
      <w:pStyle w:val="Footer"/>
    </w:pPr>
    <w:r>
      <w:rPr>
        <w:noProof/>
      </w:rPr>
      <w:pict w14:anchorId="62EE1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 style="position:absolute;left:0;text-align:left;margin-left:-1in;margin-top:-24pt;width:594.95pt;height:51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4145BE">
    <w:pPr>
      <w:pStyle w:val="Footer"/>
    </w:pPr>
    <w:r>
      <w:rPr>
        <w:noProof/>
      </w:rPr>
      <w:pict w14:anchorId="6A11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left:0;text-align:left;margin-left:-36pt;margin-top:0;width:594.4pt;height:49.95pt;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4145BE" w:rsidP="008E5502">
    <w:pPr>
      <w:pStyle w:val="anchor"/>
    </w:pPr>
    <w:r>
      <w:rPr>
        <w:noProof/>
      </w:rPr>
      <w:pict w14:anchorId="2EB2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in;margin-top:-22.05pt;width:594.95pt;height:51pt;z-index:-251656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042" w14:textId="77777777" w:rsidR="00B66578" w:rsidRDefault="00B66578" w:rsidP="00124FDC">
      <w:pPr>
        <w:spacing w:after="0"/>
      </w:pPr>
      <w:r>
        <w:separator/>
      </w:r>
    </w:p>
  </w:footnote>
  <w:footnote w:type="continuationSeparator" w:id="0">
    <w:p w14:paraId="4C9D9D8C" w14:textId="77777777" w:rsidR="00B66578" w:rsidRDefault="00B6657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FCC" w14:textId="77777777" w:rsidR="000F78F1" w:rsidRDefault="000F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4145BE">
    <w:pPr>
      <w:pStyle w:val="Header"/>
    </w:pPr>
    <w:r>
      <w:rPr>
        <w:noProof/>
      </w:rPr>
      <w:pict w14:anchorId="418A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icon&#10;&#10;&#10;&#10;&#10;&#10;&#10;&#10;&#10;&#10;&#10;&#10;&#10;&#10;&#10;&#10;&#10;&#10;Description automatically generated" style="position:absolute;left:0;text-align:left;margin-left:-1in;margin-top:-13.05pt;width:594.95pt;height:137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icon&#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4145BE">
    <w:pPr>
      <w:pStyle w:val="Header"/>
    </w:pPr>
    <w:r>
      <w:rPr>
        <w:noProof/>
      </w:rPr>
      <w:pict w14:anchorId="0C4C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imeline&#10;&#10;&#10;&#10;&#10;&#10;&#10;&#10;&#10;&#10;&#10;&#10;&#10;&#10;&#10;&#10;&#10;&#10;Description automatically generated" style="position:absolute;left:0;text-align:left;margin-left:-36pt;margin-top:-35.05pt;width:595pt;height:274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imeline&#10;&#10;&#10;&#10;&#10;&#10;&#10;&#10;&#10;&#10;&#10;&#10;&#10;&#10;&#10;&#10;&#10;&#10;Description automatically generat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DB6FF3" w14:paraId="25CF8D2A" w14:textId="77777777" w:rsidTr="0021654A">
      <w:trPr>
        <w:jc w:val="center"/>
      </w:trPr>
      <w:tc>
        <w:tcPr>
          <w:tcW w:w="5000" w:type="pct"/>
          <w:shd w:val="clear" w:color="auto" w:fill="2C5A77"/>
          <w:vAlign w:val="center"/>
        </w:tcPr>
        <w:p w14:paraId="746019ED" w14:textId="13E03E18" w:rsidR="00DB6FF3" w:rsidRPr="00C74127" w:rsidRDefault="000F78F1" w:rsidP="00E50314">
          <w:pPr>
            <w:pStyle w:val="Header"/>
            <w:jc w:val="left"/>
          </w:pPr>
          <w:r>
            <w:t>Money Matters Quarter 2 – Appendix A</w:t>
          </w:r>
        </w:p>
      </w:tc>
    </w:tr>
  </w:tbl>
  <w:p w14:paraId="266745AC" w14:textId="70934B06" w:rsidR="00DB6FF3" w:rsidRDefault="004145BE" w:rsidP="008E5502">
    <w:pPr>
      <w:pStyle w:val="anchor"/>
    </w:pPr>
    <w:r>
      <w:rPr>
        <w:noProof/>
      </w:rPr>
      <w:pict w14:anchorId="05A6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0.85pt;height:636.9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3C8"/>
    <w:multiLevelType w:val="hybridMultilevel"/>
    <w:tmpl w:val="367E0F12"/>
    <w:lvl w:ilvl="0" w:tplc="FA507FF2">
      <w:start w:val="1"/>
      <w:numFmt w:val="bullet"/>
      <w:lvlText w:val=""/>
      <w:lvlJc w:val="left"/>
      <w:pPr>
        <w:ind w:left="720" w:hanging="360"/>
      </w:pPr>
      <w:rPr>
        <w:rFonts w:ascii="Symbol" w:hAnsi="Symbol" w:hint="default"/>
      </w:rPr>
    </w:lvl>
    <w:lvl w:ilvl="1" w:tplc="052E1DE4" w:tentative="1">
      <w:start w:val="1"/>
      <w:numFmt w:val="bullet"/>
      <w:lvlText w:val="o"/>
      <w:lvlJc w:val="left"/>
      <w:pPr>
        <w:ind w:left="1440" w:hanging="360"/>
      </w:pPr>
      <w:rPr>
        <w:rFonts w:ascii="Courier New" w:hAnsi="Courier New" w:cs="Courier New" w:hint="default"/>
      </w:rPr>
    </w:lvl>
    <w:lvl w:ilvl="2" w:tplc="2698DDF8" w:tentative="1">
      <w:start w:val="1"/>
      <w:numFmt w:val="bullet"/>
      <w:lvlText w:val=""/>
      <w:lvlJc w:val="left"/>
      <w:pPr>
        <w:ind w:left="2160" w:hanging="360"/>
      </w:pPr>
      <w:rPr>
        <w:rFonts w:ascii="Wingdings" w:hAnsi="Wingdings" w:hint="default"/>
      </w:rPr>
    </w:lvl>
    <w:lvl w:ilvl="3" w:tplc="2A0A3250" w:tentative="1">
      <w:start w:val="1"/>
      <w:numFmt w:val="bullet"/>
      <w:lvlText w:val=""/>
      <w:lvlJc w:val="left"/>
      <w:pPr>
        <w:ind w:left="2880" w:hanging="360"/>
      </w:pPr>
      <w:rPr>
        <w:rFonts w:ascii="Symbol" w:hAnsi="Symbol" w:hint="default"/>
      </w:rPr>
    </w:lvl>
    <w:lvl w:ilvl="4" w:tplc="9AFC486A" w:tentative="1">
      <w:start w:val="1"/>
      <w:numFmt w:val="bullet"/>
      <w:lvlText w:val="o"/>
      <w:lvlJc w:val="left"/>
      <w:pPr>
        <w:ind w:left="3600" w:hanging="360"/>
      </w:pPr>
      <w:rPr>
        <w:rFonts w:ascii="Courier New" w:hAnsi="Courier New" w:cs="Courier New" w:hint="default"/>
      </w:rPr>
    </w:lvl>
    <w:lvl w:ilvl="5" w:tplc="81D2D28A" w:tentative="1">
      <w:start w:val="1"/>
      <w:numFmt w:val="bullet"/>
      <w:lvlText w:val=""/>
      <w:lvlJc w:val="left"/>
      <w:pPr>
        <w:ind w:left="4320" w:hanging="360"/>
      </w:pPr>
      <w:rPr>
        <w:rFonts w:ascii="Wingdings" w:hAnsi="Wingdings" w:hint="default"/>
      </w:rPr>
    </w:lvl>
    <w:lvl w:ilvl="6" w:tplc="7B480E68" w:tentative="1">
      <w:start w:val="1"/>
      <w:numFmt w:val="bullet"/>
      <w:lvlText w:val=""/>
      <w:lvlJc w:val="left"/>
      <w:pPr>
        <w:ind w:left="5040" w:hanging="360"/>
      </w:pPr>
      <w:rPr>
        <w:rFonts w:ascii="Symbol" w:hAnsi="Symbol" w:hint="default"/>
      </w:rPr>
    </w:lvl>
    <w:lvl w:ilvl="7" w:tplc="FB50F370" w:tentative="1">
      <w:start w:val="1"/>
      <w:numFmt w:val="bullet"/>
      <w:lvlText w:val="o"/>
      <w:lvlJc w:val="left"/>
      <w:pPr>
        <w:ind w:left="5760" w:hanging="360"/>
      </w:pPr>
      <w:rPr>
        <w:rFonts w:ascii="Courier New" w:hAnsi="Courier New" w:cs="Courier New" w:hint="default"/>
      </w:rPr>
    </w:lvl>
    <w:lvl w:ilvl="8" w:tplc="C0EA7724"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478FF"/>
    <w:multiLevelType w:val="hybridMultilevel"/>
    <w:tmpl w:val="3060512C"/>
    <w:lvl w:ilvl="0" w:tplc="7D860F80">
      <w:start w:val="1"/>
      <w:numFmt w:val="bullet"/>
      <w:lvlText w:val=""/>
      <w:lvlJc w:val="left"/>
      <w:pPr>
        <w:ind w:left="720" w:hanging="360"/>
      </w:pPr>
      <w:rPr>
        <w:rFonts w:ascii="Symbol" w:hAnsi="Symbol" w:hint="default"/>
      </w:rPr>
    </w:lvl>
    <w:lvl w:ilvl="1" w:tplc="EF681CDE">
      <w:start w:val="1"/>
      <w:numFmt w:val="bullet"/>
      <w:lvlText w:val="o"/>
      <w:lvlJc w:val="left"/>
      <w:pPr>
        <w:ind w:left="1440" w:hanging="360"/>
      </w:pPr>
      <w:rPr>
        <w:rFonts w:ascii="Courier New" w:hAnsi="Courier New" w:hint="default"/>
      </w:rPr>
    </w:lvl>
    <w:lvl w:ilvl="2" w:tplc="F6FCE9FE">
      <w:start w:val="1"/>
      <w:numFmt w:val="bullet"/>
      <w:lvlText w:val=""/>
      <w:lvlJc w:val="left"/>
      <w:pPr>
        <w:ind w:left="2160" w:hanging="360"/>
      </w:pPr>
      <w:rPr>
        <w:rFonts w:ascii="Wingdings" w:hAnsi="Wingdings" w:hint="default"/>
      </w:rPr>
    </w:lvl>
    <w:lvl w:ilvl="3" w:tplc="52DAD6BE">
      <w:start w:val="1"/>
      <w:numFmt w:val="bullet"/>
      <w:lvlText w:val=""/>
      <w:lvlJc w:val="left"/>
      <w:pPr>
        <w:ind w:left="2880" w:hanging="360"/>
      </w:pPr>
      <w:rPr>
        <w:rFonts w:ascii="Symbol" w:hAnsi="Symbol" w:hint="default"/>
      </w:rPr>
    </w:lvl>
    <w:lvl w:ilvl="4" w:tplc="D2FC9514">
      <w:start w:val="1"/>
      <w:numFmt w:val="bullet"/>
      <w:lvlText w:val="o"/>
      <w:lvlJc w:val="left"/>
      <w:pPr>
        <w:ind w:left="3600" w:hanging="360"/>
      </w:pPr>
      <w:rPr>
        <w:rFonts w:ascii="Courier New" w:hAnsi="Courier New" w:hint="default"/>
      </w:rPr>
    </w:lvl>
    <w:lvl w:ilvl="5" w:tplc="99D8A026">
      <w:start w:val="1"/>
      <w:numFmt w:val="bullet"/>
      <w:lvlText w:val=""/>
      <w:lvlJc w:val="left"/>
      <w:pPr>
        <w:ind w:left="4320" w:hanging="360"/>
      </w:pPr>
      <w:rPr>
        <w:rFonts w:ascii="Wingdings" w:hAnsi="Wingdings" w:hint="default"/>
      </w:rPr>
    </w:lvl>
    <w:lvl w:ilvl="6" w:tplc="39AE2B48">
      <w:start w:val="1"/>
      <w:numFmt w:val="bullet"/>
      <w:lvlText w:val=""/>
      <w:lvlJc w:val="left"/>
      <w:pPr>
        <w:ind w:left="5040" w:hanging="360"/>
      </w:pPr>
      <w:rPr>
        <w:rFonts w:ascii="Symbol" w:hAnsi="Symbol" w:hint="default"/>
      </w:rPr>
    </w:lvl>
    <w:lvl w:ilvl="7" w:tplc="F83E2154">
      <w:start w:val="1"/>
      <w:numFmt w:val="bullet"/>
      <w:lvlText w:val="o"/>
      <w:lvlJc w:val="left"/>
      <w:pPr>
        <w:ind w:left="5760" w:hanging="360"/>
      </w:pPr>
      <w:rPr>
        <w:rFonts w:ascii="Courier New" w:hAnsi="Courier New" w:hint="default"/>
      </w:rPr>
    </w:lvl>
    <w:lvl w:ilvl="8" w:tplc="1C28B070">
      <w:start w:val="1"/>
      <w:numFmt w:val="bullet"/>
      <w:lvlText w:val=""/>
      <w:lvlJc w:val="left"/>
      <w:pPr>
        <w:ind w:left="6480" w:hanging="360"/>
      </w:pPr>
      <w:rPr>
        <w:rFonts w:ascii="Wingdings" w:hAnsi="Wingdings" w:hint="default"/>
      </w:rPr>
    </w:lvl>
  </w:abstractNum>
  <w:abstractNum w:abstractNumId="4"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926270"/>
    <w:multiLevelType w:val="hybridMultilevel"/>
    <w:tmpl w:val="1D4A1BAE"/>
    <w:lvl w:ilvl="0" w:tplc="BDFC0CD4">
      <w:start w:val="1"/>
      <w:numFmt w:val="bullet"/>
      <w:lvlText w:val=""/>
      <w:lvlJc w:val="left"/>
      <w:pPr>
        <w:ind w:left="720" w:hanging="360"/>
      </w:pPr>
      <w:rPr>
        <w:rFonts w:ascii="Symbol" w:hAnsi="Symbol" w:hint="default"/>
      </w:rPr>
    </w:lvl>
    <w:lvl w:ilvl="1" w:tplc="8C9CC1F2" w:tentative="1">
      <w:start w:val="1"/>
      <w:numFmt w:val="bullet"/>
      <w:lvlText w:val="o"/>
      <w:lvlJc w:val="left"/>
      <w:pPr>
        <w:ind w:left="1440" w:hanging="360"/>
      </w:pPr>
      <w:rPr>
        <w:rFonts w:ascii="Courier New" w:hAnsi="Courier New" w:cs="Courier New" w:hint="default"/>
      </w:rPr>
    </w:lvl>
    <w:lvl w:ilvl="2" w:tplc="18CE0CBC" w:tentative="1">
      <w:start w:val="1"/>
      <w:numFmt w:val="bullet"/>
      <w:lvlText w:val=""/>
      <w:lvlJc w:val="left"/>
      <w:pPr>
        <w:ind w:left="2160" w:hanging="360"/>
      </w:pPr>
      <w:rPr>
        <w:rFonts w:ascii="Wingdings" w:hAnsi="Wingdings" w:hint="default"/>
      </w:rPr>
    </w:lvl>
    <w:lvl w:ilvl="3" w:tplc="F5704E30" w:tentative="1">
      <w:start w:val="1"/>
      <w:numFmt w:val="bullet"/>
      <w:lvlText w:val=""/>
      <w:lvlJc w:val="left"/>
      <w:pPr>
        <w:ind w:left="2880" w:hanging="360"/>
      </w:pPr>
      <w:rPr>
        <w:rFonts w:ascii="Symbol" w:hAnsi="Symbol" w:hint="default"/>
      </w:rPr>
    </w:lvl>
    <w:lvl w:ilvl="4" w:tplc="E0FE0C32" w:tentative="1">
      <w:start w:val="1"/>
      <w:numFmt w:val="bullet"/>
      <w:lvlText w:val="o"/>
      <w:lvlJc w:val="left"/>
      <w:pPr>
        <w:ind w:left="3600" w:hanging="360"/>
      </w:pPr>
      <w:rPr>
        <w:rFonts w:ascii="Courier New" w:hAnsi="Courier New" w:cs="Courier New" w:hint="default"/>
      </w:rPr>
    </w:lvl>
    <w:lvl w:ilvl="5" w:tplc="4A3A18C6" w:tentative="1">
      <w:start w:val="1"/>
      <w:numFmt w:val="bullet"/>
      <w:lvlText w:val=""/>
      <w:lvlJc w:val="left"/>
      <w:pPr>
        <w:ind w:left="4320" w:hanging="360"/>
      </w:pPr>
      <w:rPr>
        <w:rFonts w:ascii="Wingdings" w:hAnsi="Wingdings" w:hint="default"/>
      </w:rPr>
    </w:lvl>
    <w:lvl w:ilvl="6" w:tplc="A686FBC6" w:tentative="1">
      <w:start w:val="1"/>
      <w:numFmt w:val="bullet"/>
      <w:lvlText w:val=""/>
      <w:lvlJc w:val="left"/>
      <w:pPr>
        <w:ind w:left="5040" w:hanging="360"/>
      </w:pPr>
      <w:rPr>
        <w:rFonts w:ascii="Symbol" w:hAnsi="Symbol" w:hint="default"/>
      </w:rPr>
    </w:lvl>
    <w:lvl w:ilvl="7" w:tplc="98C434B2" w:tentative="1">
      <w:start w:val="1"/>
      <w:numFmt w:val="bullet"/>
      <w:lvlText w:val="o"/>
      <w:lvlJc w:val="left"/>
      <w:pPr>
        <w:ind w:left="5760" w:hanging="360"/>
      </w:pPr>
      <w:rPr>
        <w:rFonts w:ascii="Courier New" w:hAnsi="Courier New" w:cs="Courier New" w:hint="default"/>
      </w:rPr>
    </w:lvl>
    <w:lvl w:ilvl="8" w:tplc="07909554" w:tentative="1">
      <w:start w:val="1"/>
      <w:numFmt w:val="bullet"/>
      <w:lvlText w:val=""/>
      <w:lvlJc w:val="left"/>
      <w:pPr>
        <w:ind w:left="6480" w:hanging="360"/>
      </w:pPr>
      <w:rPr>
        <w:rFonts w:ascii="Wingdings" w:hAnsi="Wingdings" w:hint="default"/>
      </w:rPr>
    </w:lvl>
  </w:abstractNum>
  <w:abstractNum w:abstractNumId="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925099"/>
    <w:multiLevelType w:val="hybridMultilevel"/>
    <w:tmpl w:val="AD10ABB8"/>
    <w:lvl w:ilvl="0" w:tplc="FAC4B7B0">
      <w:start w:val="1"/>
      <w:numFmt w:val="bullet"/>
      <w:lvlText w:val=""/>
      <w:lvlJc w:val="left"/>
      <w:pPr>
        <w:ind w:left="720" w:hanging="360"/>
      </w:pPr>
      <w:rPr>
        <w:rFonts w:ascii="Symbol" w:hAnsi="Symbol" w:hint="default"/>
      </w:rPr>
    </w:lvl>
    <w:lvl w:ilvl="1" w:tplc="8E5CC7A6" w:tentative="1">
      <w:start w:val="1"/>
      <w:numFmt w:val="bullet"/>
      <w:lvlText w:val="o"/>
      <w:lvlJc w:val="left"/>
      <w:pPr>
        <w:ind w:left="1440" w:hanging="360"/>
      </w:pPr>
      <w:rPr>
        <w:rFonts w:ascii="Courier New" w:hAnsi="Courier New" w:cs="Courier New" w:hint="default"/>
      </w:rPr>
    </w:lvl>
    <w:lvl w:ilvl="2" w:tplc="C4B28B3E" w:tentative="1">
      <w:start w:val="1"/>
      <w:numFmt w:val="bullet"/>
      <w:lvlText w:val=""/>
      <w:lvlJc w:val="left"/>
      <w:pPr>
        <w:ind w:left="2160" w:hanging="360"/>
      </w:pPr>
      <w:rPr>
        <w:rFonts w:ascii="Wingdings" w:hAnsi="Wingdings" w:hint="default"/>
      </w:rPr>
    </w:lvl>
    <w:lvl w:ilvl="3" w:tplc="2B361E10" w:tentative="1">
      <w:start w:val="1"/>
      <w:numFmt w:val="bullet"/>
      <w:lvlText w:val=""/>
      <w:lvlJc w:val="left"/>
      <w:pPr>
        <w:ind w:left="2880" w:hanging="360"/>
      </w:pPr>
      <w:rPr>
        <w:rFonts w:ascii="Symbol" w:hAnsi="Symbol" w:hint="default"/>
      </w:rPr>
    </w:lvl>
    <w:lvl w:ilvl="4" w:tplc="8F54367E" w:tentative="1">
      <w:start w:val="1"/>
      <w:numFmt w:val="bullet"/>
      <w:lvlText w:val="o"/>
      <w:lvlJc w:val="left"/>
      <w:pPr>
        <w:ind w:left="3600" w:hanging="360"/>
      </w:pPr>
      <w:rPr>
        <w:rFonts w:ascii="Courier New" w:hAnsi="Courier New" w:cs="Courier New" w:hint="default"/>
      </w:rPr>
    </w:lvl>
    <w:lvl w:ilvl="5" w:tplc="0E760E2C" w:tentative="1">
      <w:start w:val="1"/>
      <w:numFmt w:val="bullet"/>
      <w:lvlText w:val=""/>
      <w:lvlJc w:val="left"/>
      <w:pPr>
        <w:ind w:left="4320" w:hanging="360"/>
      </w:pPr>
      <w:rPr>
        <w:rFonts w:ascii="Wingdings" w:hAnsi="Wingdings" w:hint="default"/>
      </w:rPr>
    </w:lvl>
    <w:lvl w:ilvl="6" w:tplc="13A60A8E" w:tentative="1">
      <w:start w:val="1"/>
      <w:numFmt w:val="bullet"/>
      <w:lvlText w:val=""/>
      <w:lvlJc w:val="left"/>
      <w:pPr>
        <w:ind w:left="5040" w:hanging="360"/>
      </w:pPr>
      <w:rPr>
        <w:rFonts w:ascii="Symbol" w:hAnsi="Symbol" w:hint="default"/>
      </w:rPr>
    </w:lvl>
    <w:lvl w:ilvl="7" w:tplc="55F86128" w:tentative="1">
      <w:start w:val="1"/>
      <w:numFmt w:val="bullet"/>
      <w:lvlText w:val="o"/>
      <w:lvlJc w:val="left"/>
      <w:pPr>
        <w:ind w:left="5760" w:hanging="360"/>
      </w:pPr>
      <w:rPr>
        <w:rFonts w:ascii="Courier New" w:hAnsi="Courier New" w:cs="Courier New" w:hint="default"/>
      </w:rPr>
    </w:lvl>
    <w:lvl w:ilvl="8" w:tplc="A5AC3BD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0"/>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0F78F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77F81"/>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145BE"/>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43769"/>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02ED"/>
    <w:rsid w:val="007A5DF9"/>
    <w:rsid w:val="007A7D0A"/>
    <w:rsid w:val="007B5C1B"/>
    <w:rsid w:val="007D2D59"/>
    <w:rsid w:val="007E1CBA"/>
    <w:rsid w:val="007E1FED"/>
    <w:rsid w:val="007E778D"/>
    <w:rsid w:val="007F0E6B"/>
    <w:rsid w:val="007F158D"/>
    <w:rsid w:val="007F3073"/>
    <w:rsid w:val="00800270"/>
    <w:rsid w:val="00813CEC"/>
    <w:rsid w:val="00817D25"/>
    <w:rsid w:val="0082471E"/>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1180"/>
    <w:rsid w:val="00914EC4"/>
    <w:rsid w:val="00917036"/>
    <w:rsid w:val="0092413A"/>
    <w:rsid w:val="00926AF1"/>
    <w:rsid w:val="00932A59"/>
    <w:rsid w:val="009337DD"/>
    <w:rsid w:val="009343D3"/>
    <w:rsid w:val="00937EE0"/>
    <w:rsid w:val="00942AF1"/>
    <w:rsid w:val="00942BC2"/>
    <w:rsid w:val="009474A3"/>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22A0"/>
    <w:rsid w:val="00A87D18"/>
    <w:rsid w:val="00A913E7"/>
    <w:rsid w:val="00A9462E"/>
    <w:rsid w:val="00AA7F2A"/>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02366"/>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D29C5"/>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styleId="CommentReference">
    <w:name w:val="annotation reference"/>
    <w:uiPriority w:val="99"/>
    <w:unhideWhenUsed/>
    <w:rsid w:val="000F78F1"/>
    <w:rPr>
      <w:sz w:val="16"/>
      <w:szCs w:val="16"/>
    </w:rPr>
  </w:style>
  <w:style w:type="paragraph" w:styleId="CommentSubject">
    <w:name w:val="annotation subject"/>
    <w:basedOn w:val="CommentText"/>
    <w:next w:val="CommentText"/>
    <w:link w:val="CommentSubjectChar"/>
    <w:uiPriority w:val="99"/>
    <w:semiHidden/>
    <w:unhideWhenUsed/>
    <w:rsid w:val="000F78F1"/>
    <w:pPr>
      <w:spacing w:after="16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0F78F1"/>
    <w:rPr>
      <w:rFonts w:ascii="Calibri" w:eastAsia="Calibri" w:hAnsi="Calibri" w:cs="Arial"/>
      <w:b/>
      <w:bCs/>
      <w:sz w:val="20"/>
      <w:szCs w:val="20"/>
      <w:lang w:eastAsia="en-US"/>
    </w:rPr>
  </w:style>
  <w:style w:type="character" w:customStyle="1" w:styleId="normaltextrun">
    <w:name w:val="normaltextrun"/>
    <w:basedOn w:val="DefaultParagraphFont"/>
    <w:rsid w:val="000F78F1"/>
  </w:style>
  <w:style w:type="paragraph" w:customStyle="1" w:styleId="paragraph">
    <w:name w:val="paragraph"/>
    <w:basedOn w:val="Normal"/>
    <w:rsid w:val="000F78F1"/>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0F78F1"/>
  </w:style>
  <w:style w:type="character" w:customStyle="1" w:styleId="scxw83001720">
    <w:name w:val="scxw83001720"/>
    <w:basedOn w:val="DefaultParagraphFont"/>
    <w:rsid w:val="000F78F1"/>
  </w:style>
  <w:style w:type="character" w:customStyle="1" w:styleId="scxw42252920">
    <w:name w:val="scxw42252920"/>
    <w:basedOn w:val="DefaultParagraphFont"/>
    <w:rsid w:val="000F78F1"/>
  </w:style>
  <w:style w:type="character" w:customStyle="1" w:styleId="pagebreaktextspan">
    <w:name w:val="pagebreaktextspan"/>
    <w:basedOn w:val="DefaultParagraphFont"/>
    <w:rsid w:val="000F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73E08-7269-4CF7-80E1-134F3E3210FE}">
  <ds:schemaRefs>
    <ds:schemaRef ds:uri="http://schemas.microsoft.com/sharepoint/v3/contenttype/forms"/>
  </ds:schemaRefs>
</ds:datastoreItem>
</file>

<file path=customXml/itemProps2.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3.xml><?xml version="1.0" encoding="utf-8"?>
<ds:datastoreItem xmlns:ds="http://schemas.openxmlformats.org/officeDocument/2006/customXml" ds:itemID="{5C10F700-F3D6-4506-8FF6-CA3A85CDC8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F09D9-5F95-489C-86EF-DA08EC09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57</TotalTime>
  <Pages>22</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46027</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Alker, Craig</cp:lastModifiedBy>
  <cp:revision>11</cp:revision>
  <cp:lastPrinted>2022-08-16T14:56:00Z</cp:lastPrinted>
  <dcterms:created xsi:type="dcterms:W3CDTF">2022-11-17T11:19:00Z</dcterms:created>
  <dcterms:modified xsi:type="dcterms:W3CDTF">2022-11-21T10:24:00Z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